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81" w:rsidRPr="00552CD9" w:rsidRDefault="00320FC3" w:rsidP="00DB1081">
      <w:pPr>
        <w:tabs>
          <w:tab w:val="left" w:pos="2323"/>
        </w:tabs>
        <w:jc w:val="center"/>
        <w:outlineLvl w:val="0"/>
      </w:pPr>
      <w:bookmarkStart w:id="0" w:name="_GoBack"/>
      <w:bookmarkEnd w:id="0"/>
      <w:r w:rsidRPr="00552CD9">
        <w:rPr>
          <w:noProof/>
        </w:rPr>
        <w:drawing>
          <wp:anchor distT="0" distB="0" distL="114300" distR="114300" simplePos="0" relativeHeight="251659264" behindDoc="0" locked="0" layoutInCell="1" allowOverlap="1" wp14:anchorId="12FAD6AA" wp14:editId="3C0A0289">
            <wp:simplePos x="0" y="0"/>
            <wp:positionH relativeFrom="column">
              <wp:posOffset>2723515</wp:posOffset>
            </wp:positionH>
            <wp:positionV relativeFrom="paragraph">
              <wp:posOffset>6350</wp:posOffset>
            </wp:positionV>
            <wp:extent cx="723265" cy="885190"/>
            <wp:effectExtent l="0" t="0" r="635" b="0"/>
            <wp:wrapNone/>
            <wp:docPr id="17" name="Рисунок 17"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на документы отредактирова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885190"/>
                    </a:xfrm>
                    <a:prstGeom prst="rect">
                      <a:avLst/>
                    </a:prstGeom>
                    <a:noFill/>
                  </pic:spPr>
                </pic:pic>
              </a:graphicData>
            </a:graphic>
            <wp14:sizeRelH relativeFrom="page">
              <wp14:pctWidth>0</wp14:pctWidth>
            </wp14:sizeRelH>
            <wp14:sizeRelV relativeFrom="page">
              <wp14:pctHeight>0</wp14:pctHeight>
            </wp14:sizeRelV>
          </wp:anchor>
        </w:drawing>
      </w:r>
    </w:p>
    <w:p w:rsidR="00DB1081" w:rsidRDefault="00DB1081" w:rsidP="00DB1081">
      <w:pPr>
        <w:tabs>
          <w:tab w:val="left" w:pos="2323"/>
        </w:tabs>
        <w:jc w:val="center"/>
        <w:outlineLvl w:val="0"/>
        <w:rPr>
          <w:sz w:val="28"/>
          <w:szCs w:val="28"/>
        </w:rPr>
      </w:pPr>
    </w:p>
    <w:p w:rsidR="00DB1081" w:rsidRDefault="00DB1081" w:rsidP="00DB1081">
      <w:pPr>
        <w:tabs>
          <w:tab w:val="left" w:pos="2323"/>
        </w:tabs>
        <w:jc w:val="center"/>
        <w:outlineLvl w:val="0"/>
        <w:rPr>
          <w:b/>
          <w:sz w:val="28"/>
          <w:szCs w:val="28"/>
        </w:rPr>
      </w:pPr>
    </w:p>
    <w:p w:rsidR="00DB1081" w:rsidRDefault="00DB1081" w:rsidP="00DB1081">
      <w:pPr>
        <w:tabs>
          <w:tab w:val="left" w:pos="2323"/>
        </w:tabs>
        <w:jc w:val="center"/>
        <w:outlineLvl w:val="0"/>
        <w:rPr>
          <w:b/>
          <w:sz w:val="28"/>
          <w:szCs w:val="28"/>
        </w:rPr>
      </w:pPr>
    </w:p>
    <w:p w:rsidR="00DB1081" w:rsidRPr="00552CD9" w:rsidRDefault="00DB1081" w:rsidP="00DB1081">
      <w:pPr>
        <w:tabs>
          <w:tab w:val="left" w:pos="2323"/>
        </w:tabs>
        <w:jc w:val="center"/>
        <w:outlineLvl w:val="0"/>
        <w:rPr>
          <w:b/>
        </w:rPr>
      </w:pPr>
    </w:p>
    <w:p w:rsidR="00552CD9" w:rsidRPr="004E327D" w:rsidRDefault="00552CD9" w:rsidP="00552CD9">
      <w:pPr>
        <w:tabs>
          <w:tab w:val="left" w:pos="2323"/>
        </w:tabs>
        <w:spacing w:before="120"/>
        <w:jc w:val="center"/>
        <w:outlineLvl w:val="0"/>
        <w:rPr>
          <w:b/>
          <w:sz w:val="22"/>
          <w:szCs w:val="22"/>
        </w:rPr>
      </w:pPr>
    </w:p>
    <w:p w:rsidR="00DB1081" w:rsidRPr="004E327D" w:rsidRDefault="00DB1081" w:rsidP="00DB1081">
      <w:pPr>
        <w:jc w:val="center"/>
        <w:rPr>
          <w:b/>
          <w:sz w:val="22"/>
          <w:szCs w:val="22"/>
        </w:rPr>
      </w:pPr>
      <w:r w:rsidRPr="004E327D">
        <w:rPr>
          <w:b/>
          <w:sz w:val="22"/>
          <w:szCs w:val="22"/>
        </w:rPr>
        <w:t>РЕВИЗИОННАЯ КОМИССИЯ КАРГАТСКОГО РАЙОНА</w:t>
      </w:r>
    </w:p>
    <w:p w:rsidR="00DB1081" w:rsidRPr="004E327D" w:rsidRDefault="00DB1081" w:rsidP="00DB1081">
      <w:pPr>
        <w:jc w:val="center"/>
        <w:rPr>
          <w:b/>
          <w:sz w:val="22"/>
          <w:szCs w:val="22"/>
        </w:rPr>
      </w:pPr>
      <w:r w:rsidRPr="004E327D">
        <w:rPr>
          <w:b/>
          <w:sz w:val="22"/>
          <w:szCs w:val="22"/>
        </w:rPr>
        <w:t>НОВОСИБИРСКОЙ ОБЛАСТИ</w:t>
      </w:r>
    </w:p>
    <w:p w:rsidR="00DB1081" w:rsidRDefault="00DB1081" w:rsidP="00DB1081">
      <w:pPr>
        <w:jc w:val="center"/>
      </w:pPr>
    </w:p>
    <w:p w:rsidR="00D0311B" w:rsidRPr="0029403D" w:rsidRDefault="00D0311B" w:rsidP="00DB1081">
      <w:pPr>
        <w:jc w:val="center"/>
      </w:pPr>
    </w:p>
    <w:p w:rsidR="00DB1081" w:rsidRPr="0029403D" w:rsidRDefault="00DB1081" w:rsidP="00DB1081">
      <w:pPr>
        <w:jc w:val="center"/>
        <w:rPr>
          <w:b/>
        </w:rPr>
      </w:pPr>
      <w:r w:rsidRPr="0029403D">
        <w:rPr>
          <w:b/>
        </w:rPr>
        <w:t xml:space="preserve">ЭКСПЕРТНОЕ ЗАКЛЮЧЕНИЕ </w:t>
      </w:r>
    </w:p>
    <w:p w:rsidR="00704AED" w:rsidRDefault="001E60F9" w:rsidP="001E60F9">
      <w:pPr>
        <w:pStyle w:val="ac"/>
        <w:ind w:firstLine="0"/>
        <w:rPr>
          <w:sz w:val="24"/>
          <w:szCs w:val="24"/>
        </w:rPr>
      </w:pPr>
      <w:r w:rsidRPr="0029403D">
        <w:rPr>
          <w:sz w:val="24"/>
          <w:szCs w:val="24"/>
        </w:rPr>
        <w:t xml:space="preserve">по </w:t>
      </w:r>
      <w:r w:rsidR="00E8794A" w:rsidRPr="0029403D">
        <w:rPr>
          <w:sz w:val="24"/>
          <w:szCs w:val="24"/>
        </w:rPr>
        <w:t xml:space="preserve">результатам внешней проверки годового </w:t>
      </w:r>
      <w:r w:rsidRPr="0029403D">
        <w:rPr>
          <w:sz w:val="24"/>
          <w:szCs w:val="24"/>
        </w:rPr>
        <w:t>отч</w:t>
      </w:r>
      <w:r w:rsidR="00A44A4C" w:rsidRPr="0029403D">
        <w:rPr>
          <w:sz w:val="24"/>
          <w:szCs w:val="24"/>
        </w:rPr>
        <w:t>ё</w:t>
      </w:r>
      <w:r w:rsidRPr="0029403D">
        <w:rPr>
          <w:sz w:val="24"/>
          <w:szCs w:val="24"/>
        </w:rPr>
        <w:t>т</w:t>
      </w:r>
      <w:r w:rsidR="00E8794A" w:rsidRPr="0029403D">
        <w:rPr>
          <w:sz w:val="24"/>
          <w:szCs w:val="24"/>
        </w:rPr>
        <w:t>а</w:t>
      </w:r>
      <w:r w:rsidR="00DB1081" w:rsidRPr="0029403D">
        <w:rPr>
          <w:sz w:val="24"/>
          <w:szCs w:val="24"/>
        </w:rPr>
        <w:t xml:space="preserve"> </w:t>
      </w:r>
      <w:r w:rsidRPr="0029403D">
        <w:rPr>
          <w:sz w:val="24"/>
          <w:szCs w:val="24"/>
        </w:rPr>
        <w:t>об исполнении</w:t>
      </w:r>
      <w:r w:rsidR="00A44A4C" w:rsidRPr="0029403D">
        <w:rPr>
          <w:sz w:val="24"/>
          <w:szCs w:val="24"/>
        </w:rPr>
        <w:t xml:space="preserve"> бюджета</w:t>
      </w:r>
      <w:r w:rsidRPr="0029403D">
        <w:rPr>
          <w:sz w:val="24"/>
          <w:szCs w:val="24"/>
        </w:rPr>
        <w:t xml:space="preserve"> </w:t>
      </w:r>
    </w:p>
    <w:p w:rsidR="001E60F9" w:rsidRPr="0029403D" w:rsidRDefault="00BB164D" w:rsidP="001E60F9">
      <w:pPr>
        <w:pStyle w:val="ac"/>
        <w:ind w:firstLine="0"/>
        <w:rPr>
          <w:sz w:val="24"/>
          <w:szCs w:val="24"/>
        </w:rPr>
      </w:pPr>
      <w:r>
        <w:rPr>
          <w:sz w:val="24"/>
          <w:szCs w:val="24"/>
        </w:rPr>
        <w:t>Марш</w:t>
      </w:r>
      <w:r w:rsidR="00B0167B">
        <w:rPr>
          <w:sz w:val="24"/>
          <w:szCs w:val="24"/>
        </w:rPr>
        <w:t>ан</w:t>
      </w:r>
      <w:r w:rsidR="00804797" w:rsidRPr="0029403D">
        <w:rPr>
          <w:sz w:val="24"/>
          <w:szCs w:val="24"/>
        </w:rPr>
        <w:t>ского сельсовета Каргатского района Новосибирской области</w:t>
      </w:r>
      <w:r w:rsidR="001E60F9" w:rsidRPr="0029403D">
        <w:rPr>
          <w:sz w:val="24"/>
          <w:szCs w:val="24"/>
        </w:rPr>
        <w:t xml:space="preserve"> за </w:t>
      </w:r>
      <w:r w:rsidR="003A58A3">
        <w:rPr>
          <w:sz w:val="24"/>
          <w:szCs w:val="24"/>
        </w:rPr>
        <w:t>2015</w:t>
      </w:r>
      <w:r w:rsidR="001E60F9" w:rsidRPr="0029403D">
        <w:rPr>
          <w:sz w:val="24"/>
          <w:szCs w:val="24"/>
        </w:rPr>
        <w:t xml:space="preserve"> год</w:t>
      </w:r>
    </w:p>
    <w:p w:rsidR="00534C44" w:rsidRDefault="00534C44" w:rsidP="00A64B99">
      <w:pPr>
        <w:pStyle w:val="a4"/>
        <w:spacing w:after="0"/>
        <w:ind w:firstLine="567"/>
        <w:jc w:val="both"/>
      </w:pPr>
    </w:p>
    <w:p w:rsidR="007868F9" w:rsidRDefault="00F428A3" w:rsidP="007868F9">
      <w:pPr>
        <w:pStyle w:val="a4"/>
        <w:spacing w:after="0"/>
        <w:ind w:firstLine="567"/>
        <w:jc w:val="right"/>
      </w:pPr>
      <w:r>
        <w:t>29</w:t>
      </w:r>
      <w:r w:rsidR="007868F9">
        <w:t>.0</w:t>
      </w:r>
      <w:r w:rsidR="003A58A3">
        <w:t>4</w:t>
      </w:r>
      <w:r w:rsidR="007868F9">
        <w:t>.</w:t>
      </w:r>
      <w:r w:rsidR="003A58A3">
        <w:t>2016</w:t>
      </w:r>
    </w:p>
    <w:p w:rsidR="007868F9" w:rsidRPr="00A64B99" w:rsidRDefault="007868F9" w:rsidP="00A64B99">
      <w:pPr>
        <w:pStyle w:val="a4"/>
        <w:spacing w:after="0"/>
        <w:ind w:firstLine="567"/>
        <w:jc w:val="both"/>
      </w:pPr>
    </w:p>
    <w:p w:rsidR="00080C19" w:rsidRPr="00A64B99" w:rsidRDefault="00080C19" w:rsidP="00AE245D">
      <w:pPr>
        <w:ind w:firstLine="567"/>
        <w:jc w:val="both"/>
      </w:pPr>
      <w:r w:rsidRPr="00A64B99">
        <w:t xml:space="preserve">Экспертное заключение </w:t>
      </w:r>
      <w:r w:rsidR="00506301" w:rsidRPr="00A64B99">
        <w:t xml:space="preserve">Ревизионной </w:t>
      </w:r>
      <w:r w:rsidR="00A17EE6" w:rsidRPr="00A64B99">
        <w:t>комиссии</w:t>
      </w:r>
      <w:r w:rsidR="00506301" w:rsidRPr="00A64B99">
        <w:t xml:space="preserve"> </w:t>
      </w:r>
      <w:r w:rsidR="00A17EE6" w:rsidRPr="00A64B99">
        <w:t>Каргатского</w:t>
      </w:r>
      <w:r w:rsidR="00506301" w:rsidRPr="00A64B99">
        <w:t xml:space="preserve"> района</w:t>
      </w:r>
      <w:r w:rsidR="00A17EE6" w:rsidRPr="00A64B99">
        <w:t xml:space="preserve"> </w:t>
      </w:r>
      <w:r w:rsidR="001F1C1B" w:rsidRPr="00A64B99">
        <w:t xml:space="preserve">по результатам внешней проверки годового отчёта об исполнении бюджета </w:t>
      </w:r>
      <w:r w:rsidR="00BB164D">
        <w:t>Марш</w:t>
      </w:r>
      <w:r w:rsidR="00B0167B">
        <w:t>ан</w:t>
      </w:r>
      <w:r w:rsidR="001F1C1B" w:rsidRPr="00A64B99">
        <w:t>ского сельсовета Ка</w:t>
      </w:r>
      <w:r w:rsidR="001F1C1B" w:rsidRPr="00A64B99">
        <w:t>р</w:t>
      </w:r>
      <w:r w:rsidR="001F1C1B" w:rsidRPr="00A64B99">
        <w:t xml:space="preserve">гатского района Новосибирской области за </w:t>
      </w:r>
      <w:r w:rsidR="003A58A3">
        <w:t>2015</w:t>
      </w:r>
      <w:r w:rsidR="001F1C1B" w:rsidRPr="00A64B99">
        <w:t xml:space="preserve"> год</w:t>
      </w:r>
      <w:r w:rsidR="00E2681F" w:rsidRPr="00A64B99">
        <w:t xml:space="preserve"> (далее - </w:t>
      </w:r>
      <w:r w:rsidR="00135AAE" w:rsidRPr="00A64B99">
        <w:t>о</w:t>
      </w:r>
      <w:r w:rsidR="00E2681F" w:rsidRPr="00A64B99">
        <w:t>тчёт</w:t>
      </w:r>
      <w:r w:rsidR="00A17EE6" w:rsidRPr="00A64B99">
        <w:t xml:space="preserve"> </w:t>
      </w:r>
      <w:r w:rsidR="00E2681F" w:rsidRPr="00A64B99">
        <w:t>об исполнении</w:t>
      </w:r>
      <w:r w:rsidR="004812A7" w:rsidRPr="00A64B99">
        <w:t xml:space="preserve"> местного</w:t>
      </w:r>
      <w:r w:rsidR="00E2681F" w:rsidRPr="00A64B99">
        <w:t xml:space="preserve"> бюджета за </w:t>
      </w:r>
      <w:r w:rsidR="003A58A3">
        <w:t>2015</w:t>
      </w:r>
      <w:r w:rsidR="00E2681F" w:rsidRPr="00A64B99">
        <w:t xml:space="preserve"> год) </w:t>
      </w:r>
      <w:r w:rsidRPr="00A64B99">
        <w:t>подготовлено в соответстви</w:t>
      </w:r>
      <w:r w:rsidR="00F77A86">
        <w:t>е</w:t>
      </w:r>
      <w:r w:rsidRPr="00A64B99">
        <w:t xml:space="preserve"> </w:t>
      </w:r>
      <w:r w:rsidR="00B11085">
        <w:t>стать</w:t>
      </w:r>
      <w:r w:rsidR="00F77A86">
        <w:t>е</w:t>
      </w:r>
      <w:r w:rsidR="00B11085">
        <w:t xml:space="preserve"> 264.4</w:t>
      </w:r>
      <w:r w:rsidRPr="00A64B99">
        <w:t xml:space="preserve"> Бюджетн</w:t>
      </w:r>
      <w:r w:rsidR="00B11085">
        <w:t>ого</w:t>
      </w:r>
      <w:r w:rsidRPr="00A64B99">
        <w:t xml:space="preserve"> кодекс</w:t>
      </w:r>
      <w:r w:rsidR="00B11085">
        <w:t>а</w:t>
      </w:r>
      <w:r w:rsidRPr="00A64B99">
        <w:t xml:space="preserve"> Р</w:t>
      </w:r>
      <w:r w:rsidR="00A17EE6" w:rsidRPr="00A64B99">
        <w:t>осси</w:t>
      </w:r>
      <w:r w:rsidR="00A17EE6" w:rsidRPr="00A64B99">
        <w:t>й</w:t>
      </w:r>
      <w:r w:rsidR="00A17EE6" w:rsidRPr="00A64B99">
        <w:t xml:space="preserve">ской </w:t>
      </w:r>
      <w:r w:rsidRPr="00A64B99">
        <w:t>Ф</w:t>
      </w:r>
      <w:r w:rsidR="00A17EE6" w:rsidRPr="00A64B99">
        <w:t>едерации</w:t>
      </w:r>
      <w:r w:rsidRPr="00A64B99">
        <w:t xml:space="preserve"> (</w:t>
      </w:r>
      <w:r w:rsidR="00A17EE6" w:rsidRPr="00A64B99">
        <w:t xml:space="preserve">далее – </w:t>
      </w:r>
      <w:r w:rsidRPr="00A64B99">
        <w:t xml:space="preserve">БК РФ), </w:t>
      </w:r>
      <w:r w:rsidR="007D75B5">
        <w:t>стать</w:t>
      </w:r>
      <w:r w:rsidR="00F77A86">
        <w:t>е</w:t>
      </w:r>
      <w:r w:rsidR="007D75B5">
        <w:t xml:space="preserve"> </w:t>
      </w:r>
      <w:r w:rsidR="00E300FD">
        <w:t>82</w:t>
      </w:r>
      <w:r w:rsidR="007D75B5">
        <w:t xml:space="preserve"> </w:t>
      </w:r>
      <w:r w:rsidR="005A1015" w:rsidRPr="00A64B99">
        <w:t>Положени</w:t>
      </w:r>
      <w:r w:rsidR="007D75B5">
        <w:t>я</w:t>
      </w:r>
      <w:r w:rsidR="005A1015" w:rsidRPr="00A64B99">
        <w:t xml:space="preserve"> о</w:t>
      </w:r>
      <w:r w:rsidRPr="00A64B99">
        <w:t xml:space="preserve"> бюджетном</w:t>
      </w:r>
      <w:r w:rsidR="002337AD">
        <w:t xml:space="preserve"> устройстве и бюдже</w:t>
      </w:r>
      <w:r w:rsidR="002337AD">
        <w:t>т</w:t>
      </w:r>
      <w:r w:rsidR="002337AD">
        <w:t>ном</w:t>
      </w:r>
      <w:r w:rsidR="00422724" w:rsidRPr="00A64B99">
        <w:t xml:space="preserve"> </w:t>
      </w:r>
      <w:r w:rsidRPr="00A64B99">
        <w:t xml:space="preserve">процессе </w:t>
      </w:r>
      <w:r w:rsidR="00E2682F" w:rsidRPr="00A64B99">
        <w:t xml:space="preserve">в </w:t>
      </w:r>
      <w:r w:rsidR="00BB164D">
        <w:t>Марш</w:t>
      </w:r>
      <w:r w:rsidR="00B0167B">
        <w:t>ан</w:t>
      </w:r>
      <w:r w:rsidR="005A1015" w:rsidRPr="00A64B99">
        <w:t>ск</w:t>
      </w:r>
      <w:r w:rsidR="00E2682F" w:rsidRPr="00A64B99">
        <w:t>о</w:t>
      </w:r>
      <w:r w:rsidR="002337AD">
        <w:t>м</w:t>
      </w:r>
      <w:r w:rsidR="005A1015" w:rsidRPr="00A64B99">
        <w:t xml:space="preserve"> сельсовет</w:t>
      </w:r>
      <w:r w:rsidR="002337AD">
        <w:t>е</w:t>
      </w:r>
      <w:r w:rsidR="005A1015" w:rsidRPr="00A64B99">
        <w:t xml:space="preserve"> Каргатского района </w:t>
      </w:r>
      <w:r w:rsidRPr="00A64B99">
        <w:t>Новосибирской области</w:t>
      </w:r>
      <w:r w:rsidR="00FB11DC" w:rsidRPr="00A64B99">
        <w:t>, утве</w:t>
      </w:r>
      <w:r w:rsidR="00FB11DC" w:rsidRPr="00A64B99">
        <w:t>р</w:t>
      </w:r>
      <w:r w:rsidR="00FB11DC" w:rsidRPr="00A64B99">
        <w:t>ждённ</w:t>
      </w:r>
      <w:r w:rsidR="00F77A86">
        <w:t>ого</w:t>
      </w:r>
      <w:r w:rsidR="00FB11DC" w:rsidRPr="00A64B99">
        <w:t xml:space="preserve"> решением</w:t>
      </w:r>
      <w:r w:rsidR="00D35230" w:rsidRPr="00A64B99">
        <w:t xml:space="preserve"> </w:t>
      </w:r>
      <w:r w:rsidR="00AC537B">
        <w:t>5</w:t>
      </w:r>
      <w:r w:rsidR="00D35230" w:rsidRPr="00A64B99">
        <w:t>-й сессии</w:t>
      </w:r>
      <w:r w:rsidR="00F46508" w:rsidRPr="00A64B99">
        <w:t xml:space="preserve"> 4 созыва Совета депутатов </w:t>
      </w:r>
      <w:r w:rsidR="00BB164D">
        <w:t>Марш</w:t>
      </w:r>
      <w:r w:rsidR="00B0167B">
        <w:t>ан</w:t>
      </w:r>
      <w:r w:rsidR="00F46508" w:rsidRPr="00A64B99">
        <w:t>ского сельсовета Карга</w:t>
      </w:r>
      <w:r w:rsidR="00F46508" w:rsidRPr="00A64B99">
        <w:t>т</w:t>
      </w:r>
      <w:r w:rsidR="00F46508" w:rsidRPr="00A64B99">
        <w:t xml:space="preserve">ского района Новосибирской области от </w:t>
      </w:r>
      <w:r w:rsidR="00F77A86">
        <w:t>174</w:t>
      </w:r>
      <w:r w:rsidR="00AC537B">
        <w:t>.12</w:t>
      </w:r>
      <w:r w:rsidR="00F46508" w:rsidRPr="00A64B99">
        <w:t>.</w:t>
      </w:r>
      <w:r w:rsidR="00747FF5">
        <w:t>201</w:t>
      </w:r>
      <w:r w:rsidR="00F77A86">
        <w:t>0</w:t>
      </w:r>
      <w:r w:rsidR="00F46508" w:rsidRPr="00A64B99">
        <w:t xml:space="preserve"> № </w:t>
      </w:r>
      <w:r w:rsidR="00F77A86">
        <w:t>37</w:t>
      </w:r>
      <w:r w:rsidR="00D35230" w:rsidRPr="00A64B99">
        <w:t xml:space="preserve"> </w:t>
      </w:r>
      <w:r w:rsidRPr="00A64B99">
        <w:t>(</w:t>
      </w:r>
      <w:r w:rsidR="005A1015" w:rsidRPr="00A64B99">
        <w:t>далее – Положение о бюджетном процессе)</w:t>
      </w:r>
      <w:r w:rsidR="00F46508" w:rsidRPr="00A64B99">
        <w:t>,</w:t>
      </w:r>
      <w:r w:rsidRPr="00A64B99">
        <w:t xml:space="preserve"> </w:t>
      </w:r>
      <w:r w:rsidR="007868F9" w:rsidRPr="00F1750B">
        <w:rPr>
          <w:spacing w:val="-2"/>
        </w:rPr>
        <w:t>пункт</w:t>
      </w:r>
      <w:r w:rsidR="00F77A86">
        <w:rPr>
          <w:spacing w:val="-2"/>
        </w:rPr>
        <w:t>у</w:t>
      </w:r>
      <w:r w:rsidR="007868F9" w:rsidRPr="00F1750B">
        <w:rPr>
          <w:spacing w:val="-2"/>
        </w:rPr>
        <w:t xml:space="preserve"> 3 статьи 4 Положения о Ревизионной комиссии Каргатского района Нов</w:t>
      </w:r>
      <w:r w:rsidR="007868F9" w:rsidRPr="00F1750B">
        <w:rPr>
          <w:spacing w:val="-2"/>
        </w:rPr>
        <w:t>о</w:t>
      </w:r>
      <w:r w:rsidR="007868F9" w:rsidRPr="00F1750B">
        <w:rPr>
          <w:spacing w:val="-2"/>
        </w:rPr>
        <w:t>сибирской области, утверждённ</w:t>
      </w:r>
      <w:r w:rsidR="00F77A86">
        <w:rPr>
          <w:spacing w:val="-2"/>
        </w:rPr>
        <w:t>ого</w:t>
      </w:r>
      <w:r w:rsidR="007868F9" w:rsidRPr="00F1750B">
        <w:rPr>
          <w:spacing w:val="-2"/>
        </w:rPr>
        <w:t xml:space="preserve"> решением 14 сессии 2 созыва Совета депутатов Каргатск</w:t>
      </w:r>
      <w:r w:rsidR="007868F9" w:rsidRPr="00F1750B">
        <w:rPr>
          <w:spacing w:val="-2"/>
        </w:rPr>
        <w:t>о</w:t>
      </w:r>
      <w:r w:rsidR="007868F9" w:rsidRPr="00F1750B">
        <w:rPr>
          <w:spacing w:val="-2"/>
        </w:rPr>
        <w:t>го района Новосибирской области от 23.11.</w:t>
      </w:r>
      <w:r w:rsidR="00747FF5">
        <w:rPr>
          <w:spacing w:val="-2"/>
        </w:rPr>
        <w:t>201</w:t>
      </w:r>
      <w:r w:rsidR="00F77A86">
        <w:rPr>
          <w:spacing w:val="-2"/>
        </w:rPr>
        <w:t>1</w:t>
      </w:r>
      <w:r w:rsidR="007868F9" w:rsidRPr="00F1750B">
        <w:rPr>
          <w:spacing w:val="-2"/>
        </w:rPr>
        <w:t xml:space="preserve"> № 157, пункт</w:t>
      </w:r>
      <w:r w:rsidR="00F77A86">
        <w:rPr>
          <w:spacing w:val="-2"/>
        </w:rPr>
        <w:t>у</w:t>
      </w:r>
      <w:r w:rsidR="007868F9" w:rsidRPr="00F1750B">
        <w:rPr>
          <w:spacing w:val="-2"/>
        </w:rPr>
        <w:t xml:space="preserve"> 1 Соглашения о передаче по</w:t>
      </w:r>
      <w:r w:rsidR="007868F9" w:rsidRPr="00F1750B">
        <w:rPr>
          <w:spacing w:val="-2"/>
        </w:rPr>
        <w:t>л</w:t>
      </w:r>
      <w:r w:rsidR="007868F9" w:rsidRPr="00F1750B">
        <w:rPr>
          <w:spacing w:val="-2"/>
        </w:rPr>
        <w:t xml:space="preserve">номочий ревизионной комиссии Каргатского района от </w:t>
      </w:r>
      <w:r w:rsidR="007868F9">
        <w:t>14.03.</w:t>
      </w:r>
      <w:r w:rsidR="003A58A3">
        <w:t>2014</w:t>
      </w:r>
      <w:r w:rsidR="007868F9" w:rsidRPr="00F1750B">
        <w:rPr>
          <w:spacing w:val="-2"/>
        </w:rPr>
        <w:t>, пункт</w:t>
      </w:r>
      <w:r w:rsidR="00F77A86">
        <w:rPr>
          <w:spacing w:val="-2"/>
        </w:rPr>
        <w:t>у</w:t>
      </w:r>
      <w:r w:rsidR="007868F9" w:rsidRPr="00F1750B">
        <w:rPr>
          <w:spacing w:val="-2"/>
        </w:rPr>
        <w:t xml:space="preserve"> </w:t>
      </w:r>
      <w:r w:rsidR="00F77A86">
        <w:rPr>
          <w:spacing w:val="-2"/>
        </w:rPr>
        <w:t>12</w:t>
      </w:r>
      <w:r w:rsidR="007868F9" w:rsidRPr="00F1750B">
        <w:rPr>
          <w:spacing w:val="-2"/>
        </w:rPr>
        <w:t xml:space="preserve"> Плана работы Ревизионной комиссии Каргатского района на </w:t>
      </w:r>
      <w:r w:rsidR="003A58A3">
        <w:rPr>
          <w:spacing w:val="-2"/>
        </w:rPr>
        <w:t>2016</w:t>
      </w:r>
      <w:r w:rsidR="007868F9" w:rsidRPr="00F1750B">
        <w:rPr>
          <w:spacing w:val="-2"/>
        </w:rPr>
        <w:t xml:space="preserve"> год.</w:t>
      </w:r>
    </w:p>
    <w:p w:rsidR="003A58A3" w:rsidRPr="0029403D" w:rsidRDefault="003A58A3" w:rsidP="003A58A3">
      <w:pPr>
        <w:spacing w:before="40"/>
        <w:ind w:firstLine="567"/>
        <w:jc w:val="both"/>
      </w:pPr>
      <w:r w:rsidRPr="0029403D">
        <w:t xml:space="preserve">Отчёт об исполнении местного бюджета за </w:t>
      </w:r>
      <w:r>
        <w:t>2015</w:t>
      </w:r>
      <w:r w:rsidRPr="0029403D">
        <w:t xml:space="preserve"> год с пояснительной запиской и д</w:t>
      </w:r>
      <w:r w:rsidRPr="0029403D">
        <w:t>о</w:t>
      </w:r>
      <w:r w:rsidRPr="0029403D">
        <w:t xml:space="preserve">полнительными материалами поступил в Ревизионную комиссию в срок, установленный </w:t>
      </w:r>
      <w:r>
        <w:t xml:space="preserve">пунктом 3 </w:t>
      </w:r>
      <w:r w:rsidRPr="0029403D">
        <w:t>стать</w:t>
      </w:r>
      <w:r>
        <w:t>и 264.4 БК РФ</w:t>
      </w:r>
      <w:r w:rsidRPr="0029403D">
        <w:t>.</w:t>
      </w:r>
    </w:p>
    <w:p w:rsidR="003A58A3" w:rsidRPr="0029403D" w:rsidRDefault="003A58A3" w:rsidP="003A58A3">
      <w:pPr>
        <w:spacing w:before="40"/>
        <w:ind w:firstLine="567"/>
        <w:jc w:val="both"/>
      </w:pPr>
      <w:r w:rsidRPr="0029403D">
        <w:t>В соответствие пункту 1 статьи 264.4 БК РФ:</w:t>
      </w:r>
    </w:p>
    <w:p w:rsidR="003A58A3" w:rsidRDefault="003A58A3" w:rsidP="003A58A3">
      <w:pPr>
        <w:autoSpaceDE w:val="0"/>
        <w:autoSpaceDN w:val="0"/>
        <w:adjustRightInd w:val="0"/>
        <w:spacing w:before="20"/>
        <w:ind w:firstLine="567"/>
        <w:jc w:val="both"/>
        <w:rPr>
          <w:i/>
          <w:sz w:val="20"/>
          <w:szCs w:val="20"/>
        </w:rPr>
      </w:pPr>
      <w:r w:rsidRPr="00B95059">
        <w:rPr>
          <w:i/>
          <w:sz w:val="20"/>
          <w:szCs w:val="20"/>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A58A3" w:rsidRDefault="003A58A3" w:rsidP="003A58A3">
      <w:pPr>
        <w:autoSpaceDE w:val="0"/>
        <w:autoSpaceDN w:val="0"/>
        <w:adjustRightInd w:val="0"/>
        <w:spacing w:before="40"/>
        <w:ind w:firstLine="567"/>
        <w:jc w:val="both"/>
      </w:pPr>
      <w:r w:rsidRPr="0029403D">
        <w:t xml:space="preserve">В </w:t>
      </w:r>
      <w:r>
        <w:t>соответствии</w:t>
      </w:r>
      <w:r w:rsidRPr="0029403D">
        <w:t xml:space="preserve"> пункт</w:t>
      </w:r>
      <w:r>
        <w:t>у</w:t>
      </w:r>
      <w:r w:rsidRPr="0029403D">
        <w:t xml:space="preserve"> 3 статьи 264.1 БК РФ предоставлена </w:t>
      </w:r>
      <w:r>
        <w:t xml:space="preserve">вся указанная </w:t>
      </w:r>
      <w:r w:rsidRPr="0029403D">
        <w:t>бюджетная отчётность</w:t>
      </w:r>
      <w:r>
        <w:t>.</w:t>
      </w:r>
    </w:p>
    <w:p w:rsidR="00DC1ABD" w:rsidRPr="0029403D" w:rsidRDefault="00AD4941" w:rsidP="004E327D">
      <w:pPr>
        <w:pStyle w:val="1"/>
      </w:pPr>
      <w:r w:rsidRPr="0029403D">
        <w:t>1. </w:t>
      </w:r>
      <w:r w:rsidR="00607E5A" w:rsidRPr="0029403D">
        <w:t xml:space="preserve">Макроэкономические условия исполнения </w:t>
      </w:r>
      <w:r w:rsidR="00276E2C" w:rsidRPr="0029403D">
        <w:t xml:space="preserve">местного </w:t>
      </w:r>
      <w:r w:rsidR="00607E5A" w:rsidRPr="0029403D">
        <w:t xml:space="preserve">бюджета в </w:t>
      </w:r>
      <w:r w:rsidR="003A58A3">
        <w:t>2015</w:t>
      </w:r>
      <w:r w:rsidR="00607E5A" w:rsidRPr="0029403D">
        <w:t xml:space="preserve"> году</w:t>
      </w:r>
    </w:p>
    <w:p w:rsidR="002E42E7" w:rsidRPr="0029403D" w:rsidRDefault="00F66D86" w:rsidP="008047AB">
      <w:pPr>
        <w:spacing w:before="40"/>
        <w:ind w:firstLine="567"/>
        <w:jc w:val="both"/>
      </w:pPr>
      <w:r w:rsidRPr="0029403D">
        <w:t>Площадь территории муниципального образования</w:t>
      </w:r>
      <w:r w:rsidR="002E13A6" w:rsidRPr="0029403D">
        <w:t xml:space="preserve"> составляет </w:t>
      </w:r>
      <w:r w:rsidR="00316C1F">
        <w:t>54435</w:t>
      </w:r>
      <w:r w:rsidR="00B46800">
        <w:t xml:space="preserve"> </w:t>
      </w:r>
      <w:r w:rsidR="00536FE3" w:rsidRPr="0029403D">
        <w:t>га</w:t>
      </w:r>
      <w:r w:rsidR="002E42E7" w:rsidRPr="0029403D">
        <w:t>, из них сельх</w:t>
      </w:r>
      <w:r w:rsidR="002E42E7" w:rsidRPr="0029403D">
        <w:t>о</w:t>
      </w:r>
      <w:r w:rsidR="002E42E7" w:rsidRPr="0029403D">
        <w:t xml:space="preserve">зугодия – </w:t>
      </w:r>
      <w:r w:rsidR="002E42E7">
        <w:t>47386</w:t>
      </w:r>
      <w:r w:rsidR="002E42E7" w:rsidRPr="0029403D">
        <w:t xml:space="preserve"> га или </w:t>
      </w:r>
      <w:r w:rsidR="002E42E7">
        <w:t>87,1</w:t>
      </w:r>
      <w:r w:rsidR="002E42E7" w:rsidRPr="0029403D">
        <w:t>%.</w:t>
      </w:r>
    </w:p>
    <w:p w:rsidR="003A58A3" w:rsidRDefault="003A58A3" w:rsidP="003A58A3">
      <w:pPr>
        <w:spacing w:before="40"/>
        <w:ind w:firstLine="567"/>
        <w:jc w:val="both"/>
      </w:pPr>
      <w:r w:rsidRPr="002F6DDE">
        <w:t>Площадь жилищного фонда – 21,3 тыс. м</w:t>
      </w:r>
      <w:r w:rsidRPr="002F6DDE">
        <w:rPr>
          <w:vertAlign w:val="superscript"/>
        </w:rPr>
        <w:t>2</w:t>
      </w:r>
      <w:r w:rsidRPr="002F6DDE">
        <w:t>, в том числе площадь муниципального ж</w:t>
      </w:r>
      <w:r w:rsidRPr="002F6DDE">
        <w:t>и</w:t>
      </w:r>
      <w:r w:rsidRPr="002F6DDE">
        <w:t xml:space="preserve">лищного фонда – </w:t>
      </w:r>
      <w:r>
        <w:t>5,73</w:t>
      </w:r>
      <w:r w:rsidRPr="002F6DDE">
        <w:t xml:space="preserve"> тыс. м</w:t>
      </w:r>
      <w:r w:rsidRPr="002F6DDE">
        <w:rPr>
          <w:vertAlign w:val="superscript"/>
        </w:rPr>
        <w:t>2</w:t>
      </w:r>
      <w:r w:rsidRPr="002F6DDE">
        <w:t>.</w:t>
      </w:r>
    </w:p>
    <w:p w:rsidR="002E13A6" w:rsidRPr="00316C1F" w:rsidRDefault="000F3980" w:rsidP="008047AB">
      <w:pPr>
        <w:spacing w:before="40"/>
        <w:ind w:firstLine="567"/>
        <w:jc w:val="both"/>
      </w:pPr>
      <w:r w:rsidRPr="00316C1F">
        <w:t xml:space="preserve">В состав </w:t>
      </w:r>
      <w:r w:rsidR="00BB164D" w:rsidRPr="00316C1F">
        <w:t>Марш</w:t>
      </w:r>
      <w:r w:rsidR="00B0167B" w:rsidRPr="00316C1F">
        <w:t>ан</w:t>
      </w:r>
      <w:r w:rsidRPr="00316C1F">
        <w:t xml:space="preserve">ского сельсовета входят </w:t>
      </w:r>
      <w:r w:rsidR="00316C1F" w:rsidRPr="00316C1F">
        <w:t>три</w:t>
      </w:r>
      <w:r w:rsidRPr="00316C1F">
        <w:t xml:space="preserve"> населённых пункт</w:t>
      </w:r>
      <w:r w:rsidR="00AE11DB" w:rsidRPr="00316C1F">
        <w:t>а</w:t>
      </w:r>
      <w:r w:rsidRPr="00316C1F">
        <w:t xml:space="preserve"> – </w:t>
      </w:r>
      <w:r w:rsidR="00175B20" w:rsidRPr="00316C1F">
        <w:t xml:space="preserve">село </w:t>
      </w:r>
      <w:r w:rsidR="00316C1F" w:rsidRPr="00316C1F">
        <w:t>Маршанское</w:t>
      </w:r>
      <w:r w:rsidR="000D60ED" w:rsidRPr="00316C1F">
        <w:t xml:space="preserve">, </w:t>
      </w:r>
      <w:r w:rsidR="00316C1F" w:rsidRPr="00316C1F">
        <w:t>село Иванкино</w:t>
      </w:r>
      <w:r w:rsidR="00175B20" w:rsidRPr="00316C1F">
        <w:t xml:space="preserve">, </w:t>
      </w:r>
      <w:r w:rsidR="00316C1F" w:rsidRPr="00316C1F">
        <w:t>село Аткуль</w:t>
      </w:r>
      <w:r w:rsidR="00BD3023" w:rsidRPr="00316C1F">
        <w:t>.</w:t>
      </w:r>
    </w:p>
    <w:p w:rsidR="006366AE" w:rsidRPr="00316C1F" w:rsidRDefault="006366AE" w:rsidP="008047AB">
      <w:pPr>
        <w:spacing w:before="40"/>
        <w:ind w:firstLine="567"/>
        <w:jc w:val="both"/>
      </w:pPr>
      <w:r w:rsidRPr="00316C1F">
        <w:t xml:space="preserve">На территории муниципального образования </w:t>
      </w:r>
      <w:r w:rsidR="00241DA8" w:rsidRPr="00316C1F">
        <w:t>сельскохозяйственн</w:t>
      </w:r>
      <w:r w:rsidR="002E42E7">
        <w:t>ых и</w:t>
      </w:r>
      <w:r w:rsidR="002341D9" w:rsidRPr="00316C1F">
        <w:t xml:space="preserve"> </w:t>
      </w:r>
      <w:r w:rsidRPr="00316C1F">
        <w:t>промышленн</w:t>
      </w:r>
      <w:r w:rsidR="002341D9" w:rsidRPr="00316C1F">
        <w:t xml:space="preserve">ых </w:t>
      </w:r>
      <w:r w:rsidRPr="00316C1F">
        <w:t>предприяти</w:t>
      </w:r>
      <w:r w:rsidR="002341D9" w:rsidRPr="00316C1F">
        <w:t>й</w:t>
      </w:r>
      <w:r w:rsidR="00241DA8" w:rsidRPr="00316C1F">
        <w:t xml:space="preserve"> нет</w:t>
      </w:r>
      <w:r w:rsidRPr="00316C1F">
        <w:t xml:space="preserve">, </w:t>
      </w:r>
      <w:r w:rsidR="002E42E7">
        <w:t>два</w:t>
      </w:r>
      <w:r w:rsidR="00316C1F" w:rsidRPr="00316C1F">
        <w:t xml:space="preserve"> к</w:t>
      </w:r>
      <w:r w:rsidRPr="00316C1F">
        <w:t>рестьянско-фермерск</w:t>
      </w:r>
      <w:r w:rsidR="002E42E7">
        <w:t>их</w:t>
      </w:r>
      <w:r w:rsidRPr="00316C1F">
        <w:t xml:space="preserve"> хозяйств</w:t>
      </w:r>
      <w:r w:rsidR="002E42E7">
        <w:t xml:space="preserve">а: </w:t>
      </w:r>
      <w:r w:rsidR="002E42E7" w:rsidRPr="00316C1F">
        <w:t xml:space="preserve">ООО </w:t>
      </w:r>
      <w:r w:rsidR="002E42E7">
        <w:t xml:space="preserve">КФХ </w:t>
      </w:r>
      <w:r w:rsidR="002E42E7" w:rsidRPr="00316C1F">
        <w:t>«Русское поле»</w:t>
      </w:r>
      <w:r w:rsidR="002E42E7">
        <w:t xml:space="preserve"> и КФХ Грибкова</w:t>
      </w:r>
      <w:r w:rsidR="00D60C3B" w:rsidRPr="00316C1F">
        <w:t>.</w:t>
      </w:r>
      <w:r w:rsidR="00E26B33" w:rsidRPr="00316C1F">
        <w:t xml:space="preserve"> </w:t>
      </w:r>
    </w:p>
    <w:p w:rsidR="003942FE" w:rsidRPr="002F6DDE" w:rsidRDefault="00034F90" w:rsidP="008047AB">
      <w:pPr>
        <w:spacing w:before="40"/>
        <w:ind w:firstLine="567"/>
        <w:jc w:val="both"/>
      </w:pPr>
      <w:r w:rsidRPr="002F6DDE">
        <w:t xml:space="preserve">В течение </w:t>
      </w:r>
      <w:r w:rsidR="003A58A3">
        <w:t>201</w:t>
      </w:r>
      <w:r w:rsidR="00A91DD1">
        <w:t>4</w:t>
      </w:r>
      <w:r w:rsidRPr="002F6DDE">
        <w:t>-</w:t>
      </w:r>
      <w:r w:rsidR="003A58A3">
        <w:t>2015</w:t>
      </w:r>
      <w:r w:rsidRPr="002F6DDE">
        <w:t xml:space="preserve"> годов </w:t>
      </w:r>
      <w:r w:rsidR="00A91DD1">
        <w:t>увеличивается</w:t>
      </w:r>
      <w:r w:rsidRPr="002F6DDE">
        <w:t xml:space="preserve"> численность населения, с</w:t>
      </w:r>
      <w:r w:rsidR="003942FE" w:rsidRPr="002F6DDE">
        <w:t xml:space="preserve"> </w:t>
      </w:r>
      <w:r w:rsidR="00A91DD1">
        <w:t>965</w:t>
      </w:r>
      <w:r w:rsidRPr="002F6DDE">
        <w:t xml:space="preserve"> до </w:t>
      </w:r>
      <w:r w:rsidR="00495BE5">
        <w:t>983</w:t>
      </w:r>
      <w:r w:rsidRPr="002F6DDE">
        <w:t xml:space="preserve"> человек</w:t>
      </w:r>
      <w:r w:rsidR="002E42E7">
        <w:t xml:space="preserve"> (по данным органа статистики)</w:t>
      </w:r>
      <w:r w:rsidRPr="002F6DDE">
        <w:t xml:space="preserve">. </w:t>
      </w:r>
      <w:r w:rsidR="00A91DD1">
        <w:t>Также</w:t>
      </w:r>
      <w:r w:rsidR="00316C1F" w:rsidRPr="002F6DDE">
        <w:t xml:space="preserve"> увеличивается</w:t>
      </w:r>
      <w:r w:rsidR="002F6DDE" w:rsidRPr="002F6DDE">
        <w:t xml:space="preserve"> численность</w:t>
      </w:r>
      <w:r w:rsidR="008D09B0" w:rsidRPr="002F6DDE">
        <w:t xml:space="preserve"> </w:t>
      </w:r>
      <w:r w:rsidR="00A91DD1">
        <w:t>занятых в экономике</w:t>
      </w:r>
      <w:r w:rsidR="008D09B0" w:rsidRPr="002F6DDE">
        <w:t xml:space="preserve"> с </w:t>
      </w:r>
      <w:r w:rsidR="00A91DD1">
        <w:t>217</w:t>
      </w:r>
      <w:r w:rsidR="008D09B0" w:rsidRPr="002F6DDE">
        <w:t xml:space="preserve"> до </w:t>
      </w:r>
      <w:r w:rsidR="00A91DD1">
        <w:t>432</w:t>
      </w:r>
      <w:r w:rsidR="003942FE" w:rsidRPr="002F6DDE">
        <w:t xml:space="preserve"> </w:t>
      </w:r>
      <w:r w:rsidR="008D09B0" w:rsidRPr="002F6DDE">
        <w:t>человек.</w:t>
      </w:r>
      <w:r w:rsidR="00F3537C">
        <w:t xml:space="preserve"> </w:t>
      </w:r>
      <w:r w:rsidR="00993C69" w:rsidRPr="002F6DDE">
        <w:t xml:space="preserve">Ежегодно увеличивается средняя заработная плата: с </w:t>
      </w:r>
      <w:r w:rsidR="00A91DD1">
        <w:t>10177</w:t>
      </w:r>
      <w:r w:rsidR="00993C69" w:rsidRPr="002F6DDE">
        <w:t xml:space="preserve"> руб. в </w:t>
      </w:r>
      <w:r w:rsidR="003A58A3">
        <w:t>2014</w:t>
      </w:r>
      <w:r w:rsidR="00993C69" w:rsidRPr="002F6DDE">
        <w:t xml:space="preserve"> году до </w:t>
      </w:r>
      <w:r w:rsidR="00A91DD1">
        <w:t>10210</w:t>
      </w:r>
      <w:r w:rsidR="00993C69" w:rsidRPr="002F6DDE">
        <w:t xml:space="preserve"> руб. в </w:t>
      </w:r>
      <w:r w:rsidR="003A58A3">
        <w:t>2015</w:t>
      </w:r>
      <w:r w:rsidR="00993C69" w:rsidRPr="002F6DDE">
        <w:t xml:space="preserve"> году.</w:t>
      </w:r>
    </w:p>
    <w:p w:rsidR="006628FF" w:rsidRPr="0029403D" w:rsidRDefault="0002517C" w:rsidP="004E327D">
      <w:pPr>
        <w:pStyle w:val="1"/>
      </w:pPr>
      <w:r w:rsidRPr="0029403D">
        <w:lastRenderedPageBreak/>
        <w:t xml:space="preserve">2. Соблюдение бюджетного законодательства при организации исполнения </w:t>
      </w:r>
      <w:r w:rsidR="00264072" w:rsidRPr="0029403D">
        <w:t>мес</w:t>
      </w:r>
      <w:r w:rsidR="00264072" w:rsidRPr="0029403D">
        <w:t>т</w:t>
      </w:r>
      <w:r w:rsidR="00264072" w:rsidRPr="0029403D">
        <w:t xml:space="preserve">ного бюджета </w:t>
      </w:r>
      <w:r w:rsidRPr="0029403D">
        <w:t xml:space="preserve">в </w:t>
      </w:r>
      <w:r w:rsidR="003A58A3">
        <w:t>2015</w:t>
      </w:r>
      <w:r w:rsidRPr="0029403D">
        <w:t xml:space="preserve"> году</w:t>
      </w:r>
    </w:p>
    <w:p w:rsidR="0002517C" w:rsidRPr="0029403D" w:rsidRDefault="00596CD7" w:rsidP="00596CD7">
      <w:pPr>
        <w:spacing w:before="60"/>
        <w:ind w:firstLine="567"/>
        <w:jc w:val="both"/>
      </w:pPr>
      <w:r w:rsidRPr="0029403D">
        <w:t>2.</w:t>
      </w:r>
      <w:r w:rsidR="004E3D6E" w:rsidRPr="0029403D">
        <w:t xml:space="preserve">1. </w:t>
      </w:r>
      <w:r w:rsidR="00E04607" w:rsidRPr="0029403D">
        <w:t>Система</w:t>
      </w:r>
      <w:r w:rsidR="0002517C" w:rsidRPr="0029403D">
        <w:t xml:space="preserve"> исполнения </w:t>
      </w:r>
      <w:r w:rsidR="004812A7" w:rsidRPr="0029403D">
        <w:t xml:space="preserve">местного </w:t>
      </w:r>
      <w:r w:rsidR="0002517C" w:rsidRPr="0029403D">
        <w:t>бюджета соответств</w:t>
      </w:r>
      <w:r w:rsidR="00E04607" w:rsidRPr="0029403D">
        <w:t xml:space="preserve">ует </w:t>
      </w:r>
      <w:r w:rsidR="004C38CC" w:rsidRPr="0029403D">
        <w:t>БК РФ, Положению о бю</w:t>
      </w:r>
      <w:r w:rsidR="004C38CC" w:rsidRPr="0029403D">
        <w:t>д</w:t>
      </w:r>
      <w:r w:rsidR="004C38CC" w:rsidRPr="0029403D">
        <w:t>жетном процессе</w:t>
      </w:r>
      <w:r w:rsidR="00A93F6C">
        <w:t>:</w:t>
      </w:r>
      <w:r w:rsidR="00F77A86" w:rsidRPr="00F77A86">
        <w:t xml:space="preserve"> </w:t>
      </w:r>
      <w:r w:rsidR="00F77A86">
        <w:t>бюджетные полномочия</w:t>
      </w:r>
      <w:r w:rsidR="00F77A86" w:rsidRPr="0029403D">
        <w:t xml:space="preserve"> администрация </w:t>
      </w:r>
      <w:r w:rsidR="00F77A86">
        <w:t>Маршан</w:t>
      </w:r>
      <w:r w:rsidR="00F77A86" w:rsidRPr="0029403D">
        <w:t>ского сельсовета</w:t>
      </w:r>
      <w:r w:rsidR="00F77A86">
        <w:t xml:space="preserve"> испо</w:t>
      </w:r>
      <w:r w:rsidR="00F77A86">
        <w:t>л</w:t>
      </w:r>
      <w:r w:rsidR="00F77A86">
        <w:t>няет</w:t>
      </w:r>
      <w:r w:rsidR="00F77A86" w:rsidRPr="0029403D">
        <w:t xml:space="preserve"> в соответстви</w:t>
      </w:r>
      <w:r w:rsidR="00F77A86">
        <w:t>е</w:t>
      </w:r>
      <w:r w:rsidR="00F77A86" w:rsidRPr="0029403D">
        <w:t xml:space="preserve"> </w:t>
      </w:r>
      <w:r w:rsidR="00F77A86" w:rsidRPr="00704C9D">
        <w:t>стать</w:t>
      </w:r>
      <w:r w:rsidR="00F77A86">
        <w:t>е</w:t>
      </w:r>
      <w:r w:rsidR="00F77A86" w:rsidRPr="00704C9D">
        <w:t xml:space="preserve"> </w:t>
      </w:r>
      <w:r w:rsidR="00C473F5" w:rsidRPr="0029403D">
        <w:t>32 Положения о бюджетном процессе</w:t>
      </w:r>
      <w:r w:rsidR="00C647CB" w:rsidRPr="0029403D">
        <w:t xml:space="preserve">; </w:t>
      </w:r>
      <w:r w:rsidR="007026D6" w:rsidRPr="0029403D">
        <w:t>утверждён перечень</w:t>
      </w:r>
      <w:r w:rsidR="0002517C" w:rsidRPr="0029403D">
        <w:t xml:space="preserve"> пол</w:t>
      </w:r>
      <w:r w:rsidR="0002517C" w:rsidRPr="0029403D">
        <w:t>у</w:t>
      </w:r>
      <w:r w:rsidR="0002517C" w:rsidRPr="0029403D">
        <w:t>чателей</w:t>
      </w:r>
      <w:r w:rsidR="007026D6" w:rsidRPr="0029403D">
        <w:t xml:space="preserve"> средств местного бюджета (администрация </w:t>
      </w:r>
      <w:r w:rsidR="00BB164D">
        <w:t>Марш</w:t>
      </w:r>
      <w:r w:rsidR="00B0167B">
        <w:t>ан</w:t>
      </w:r>
      <w:r w:rsidR="007026D6" w:rsidRPr="0029403D">
        <w:t>ского сельсовета</w:t>
      </w:r>
      <w:r w:rsidR="0002517C" w:rsidRPr="0029403D">
        <w:t>,</w:t>
      </w:r>
      <w:r w:rsidR="007026D6" w:rsidRPr="0029403D">
        <w:t xml:space="preserve"> </w:t>
      </w:r>
      <w:r w:rsidR="003A58A3">
        <w:t>МКУК</w:t>
      </w:r>
      <w:r w:rsidR="003544B4" w:rsidRPr="0029403D">
        <w:t xml:space="preserve"> «</w:t>
      </w:r>
      <w:r w:rsidR="00BB164D">
        <w:t>Ма</w:t>
      </w:r>
      <w:r w:rsidR="00BB164D">
        <w:t>р</w:t>
      </w:r>
      <w:r w:rsidR="00BB164D">
        <w:t>ш</w:t>
      </w:r>
      <w:r w:rsidR="00B0167B">
        <w:t>ан</w:t>
      </w:r>
      <w:r w:rsidR="003544B4" w:rsidRPr="0029403D">
        <w:t>ский социально-культурный комплекс»</w:t>
      </w:r>
      <w:r w:rsidR="007026D6" w:rsidRPr="0029403D">
        <w:t>)</w:t>
      </w:r>
      <w:r w:rsidR="0002517C" w:rsidRPr="0029403D">
        <w:t>, соблюд</w:t>
      </w:r>
      <w:r w:rsidR="00007D23" w:rsidRPr="0029403D">
        <w:t>ается</w:t>
      </w:r>
      <w:r w:rsidR="0002517C" w:rsidRPr="0029403D">
        <w:t xml:space="preserve"> принцип подведомственности при финансировании (отсутствие среди получателей коммерческих организаций, учреждений других бюджетов</w:t>
      </w:r>
      <w:r w:rsidR="00007D23" w:rsidRPr="0029403D">
        <w:t>)</w:t>
      </w:r>
      <w:r w:rsidR="0002517C" w:rsidRPr="0029403D">
        <w:t>.</w:t>
      </w:r>
    </w:p>
    <w:p w:rsidR="000A4A24" w:rsidRPr="0029403D" w:rsidRDefault="00596CD7" w:rsidP="00596CD7">
      <w:pPr>
        <w:spacing w:before="60"/>
        <w:ind w:firstLine="567"/>
        <w:jc w:val="both"/>
      </w:pPr>
      <w:r w:rsidRPr="0029403D">
        <w:t>2.</w:t>
      </w:r>
      <w:r w:rsidR="004E3D6E" w:rsidRPr="0029403D">
        <w:t xml:space="preserve">2. </w:t>
      </w:r>
      <w:r w:rsidR="000A4A24" w:rsidRPr="0029403D">
        <w:t>Утверждены лимиты бюджетных обязательств, сводная бюджетная роспись, бю</w:t>
      </w:r>
      <w:r w:rsidR="000A4A24" w:rsidRPr="0029403D">
        <w:t>д</w:t>
      </w:r>
      <w:r w:rsidR="000A4A24" w:rsidRPr="0029403D">
        <w:t>жетная смета.</w:t>
      </w:r>
    </w:p>
    <w:p w:rsidR="009536C1" w:rsidRPr="0029403D" w:rsidRDefault="009536C1" w:rsidP="006D5350">
      <w:pPr>
        <w:pStyle w:val="ConsNormal"/>
        <w:widowControl/>
        <w:tabs>
          <w:tab w:val="left" w:pos="1800"/>
        </w:tabs>
        <w:spacing w:before="60"/>
        <w:ind w:firstLine="567"/>
        <w:jc w:val="both"/>
        <w:rPr>
          <w:i/>
          <w:sz w:val="22"/>
          <w:szCs w:val="22"/>
        </w:rPr>
      </w:pPr>
      <w:r w:rsidRPr="0029403D">
        <w:rPr>
          <w:rFonts w:ascii="Times New Roman" w:hAnsi="Times New Roman"/>
          <w:sz w:val="24"/>
          <w:szCs w:val="24"/>
        </w:rPr>
        <w:t xml:space="preserve">2.3. </w:t>
      </w:r>
      <w:r w:rsidR="005F24C7">
        <w:rPr>
          <w:rFonts w:ascii="Times New Roman" w:hAnsi="Times New Roman"/>
          <w:sz w:val="24"/>
          <w:szCs w:val="24"/>
        </w:rPr>
        <w:t>Закупка</w:t>
      </w:r>
      <w:r w:rsidR="005F24C7" w:rsidRPr="0029403D">
        <w:rPr>
          <w:rFonts w:ascii="Times New Roman" w:hAnsi="Times New Roman"/>
          <w:sz w:val="24"/>
          <w:szCs w:val="24"/>
        </w:rPr>
        <w:t xml:space="preserve"> товаров, работ, услуг для муниципальных нужд производится в соотве</w:t>
      </w:r>
      <w:r w:rsidR="005F24C7" w:rsidRPr="0029403D">
        <w:rPr>
          <w:rFonts w:ascii="Times New Roman" w:hAnsi="Times New Roman"/>
          <w:sz w:val="24"/>
          <w:szCs w:val="24"/>
        </w:rPr>
        <w:t>т</w:t>
      </w:r>
      <w:r w:rsidR="005F24C7" w:rsidRPr="0029403D">
        <w:rPr>
          <w:rFonts w:ascii="Times New Roman" w:hAnsi="Times New Roman"/>
          <w:sz w:val="24"/>
          <w:szCs w:val="24"/>
        </w:rPr>
        <w:t xml:space="preserve">ствие </w:t>
      </w:r>
      <w:r w:rsidR="005F24C7" w:rsidRPr="002715B0">
        <w:rPr>
          <w:rFonts w:ascii="Times New Roman" w:hAnsi="Times New Roman"/>
          <w:sz w:val="24"/>
          <w:szCs w:val="24"/>
        </w:rPr>
        <w:t>Федеральн</w:t>
      </w:r>
      <w:r w:rsidR="005F24C7">
        <w:rPr>
          <w:rFonts w:ascii="Times New Roman" w:hAnsi="Times New Roman"/>
          <w:sz w:val="24"/>
          <w:szCs w:val="24"/>
        </w:rPr>
        <w:t>ому</w:t>
      </w:r>
      <w:r w:rsidR="005F24C7" w:rsidRPr="002715B0">
        <w:rPr>
          <w:rFonts w:ascii="Times New Roman" w:hAnsi="Times New Roman"/>
          <w:sz w:val="24"/>
          <w:szCs w:val="24"/>
        </w:rPr>
        <w:t xml:space="preserve"> закон</w:t>
      </w:r>
      <w:r w:rsidR="005F24C7">
        <w:rPr>
          <w:rFonts w:ascii="Times New Roman" w:hAnsi="Times New Roman"/>
          <w:sz w:val="24"/>
          <w:szCs w:val="24"/>
        </w:rPr>
        <w:t>у</w:t>
      </w:r>
      <w:r w:rsidR="005F24C7" w:rsidRPr="002715B0">
        <w:rPr>
          <w:rFonts w:ascii="Times New Roman" w:hAnsi="Times New Roman"/>
          <w:sz w:val="24"/>
          <w:szCs w:val="24"/>
        </w:rPr>
        <w:t xml:space="preserve"> от </w:t>
      </w:r>
      <w:r w:rsidR="005F24C7">
        <w:rPr>
          <w:rFonts w:ascii="Times New Roman" w:hAnsi="Times New Roman"/>
          <w:sz w:val="24"/>
          <w:szCs w:val="24"/>
        </w:rPr>
        <w:t>05</w:t>
      </w:r>
      <w:r w:rsidR="005F24C7" w:rsidRPr="002715B0">
        <w:rPr>
          <w:rFonts w:ascii="Times New Roman" w:hAnsi="Times New Roman"/>
          <w:sz w:val="24"/>
          <w:szCs w:val="24"/>
        </w:rPr>
        <w:t>.0</w:t>
      </w:r>
      <w:r w:rsidR="005F24C7">
        <w:rPr>
          <w:rFonts w:ascii="Times New Roman" w:hAnsi="Times New Roman"/>
          <w:sz w:val="24"/>
          <w:szCs w:val="24"/>
        </w:rPr>
        <w:t>4</w:t>
      </w:r>
      <w:r w:rsidR="005F24C7" w:rsidRPr="002715B0">
        <w:rPr>
          <w:rFonts w:ascii="Times New Roman" w:hAnsi="Times New Roman"/>
          <w:sz w:val="24"/>
          <w:szCs w:val="24"/>
        </w:rPr>
        <w:t>.</w:t>
      </w:r>
      <w:r w:rsidR="003A58A3">
        <w:rPr>
          <w:rFonts w:ascii="Times New Roman" w:hAnsi="Times New Roman"/>
          <w:sz w:val="24"/>
          <w:szCs w:val="24"/>
        </w:rPr>
        <w:t>2014</w:t>
      </w:r>
      <w:r w:rsidR="005F24C7" w:rsidRPr="002715B0">
        <w:rPr>
          <w:rFonts w:ascii="Times New Roman" w:hAnsi="Times New Roman"/>
          <w:sz w:val="24"/>
          <w:szCs w:val="24"/>
        </w:rPr>
        <w:t xml:space="preserve"> </w:t>
      </w:r>
      <w:r w:rsidR="005F24C7">
        <w:rPr>
          <w:rFonts w:ascii="Times New Roman" w:hAnsi="Times New Roman"/>
          <w:sz w:val="24"/>
          <w:szCs w:val="24"/>
        </w:rPr>
        <w:t>№</w:t>
      </w:r>
      <w:r w:rsidR="005F24C7" w:rsidRPr="002715B0">
        <w:rPr>
          <w:rFonts w:ascii="Times New Roman" w:hAnsi="Times New Roman"/>
          <w:sz w:val="24"/>
          <w:szCs w:val="24"/>
        </w:rPr>
        <w:t xml:space="preserve"> </w:t>
      </w:r>
      <w:r w:rsidR="005F24C7">
        <w:rPr>
          <w:rFonts w:ascii="Times New Roman" w:hAnsi="Times New Roman"/>
          <w:sz w:val="24"/>
          <w:szCs w:val="24"/>
        </w:rPr>
        <w:t>4</w:t>
      </w:r>
      <w:r w:rsidR="005F24C7" w:rsidRPr="002715B0">
        <w:rPr>
          <w:rFonts w:ascii="Times New Roman" w:hAnsi="Times New Roman"/>
          <w:sz w:val="24"/>
          <w:szCs w:val="24"/>
        </w:rPr>
        <w:t xml:space="preserve">4-ФЗ «О </w:t>
      </w:r>
      <w:r w:rsidR="005F24C7">
        <w:rPr>
          <w:rFonts w:ascii="Times New Roman" w:hAnsi="Times New Roman"/>
          <w:sz w:val="24"/>
          <w:szCs w:val="24"/>
        </w:rPr>
        <w:t>контрактной системе в сфере закупок</w:t>
      </w:r>
      <w:r w:rsidR="005F24C7" w:rsidRPr="002715B0">
        <w:rPr>
          <w:rFonts w:ascii="Times New Roman" w:hAnsi="Times New Roman"/>
          <w:sz w:val="24"/>
          <w:szCs w:val="24"/>
        </w:rPr>
        <w:t xml:space="preserve"> товаров, работ, услуг для </w:t>
      </w:r>
      <w:r w:rsidR="005F24C7">
        <w:rPr>
          <w:rFonts w:ascii="Times New Roman" w:hAnsi="Times New Roman"/>
          <w:sz w:val="24"/>
          <w:szCs w:val="24"/>
        </w:rPr>
        <w:t xml:space="preserve">обеспечения </w:t>
      </w:r>
      <w:r w:rsidR="005F24C7" w:rsidRPr="002715B0">
        <w:rPr>
          <w:rFonts w:ascii="Times New Roman" w:hAnsi="Times New Roman"/>
          <w:sz w:val="24"/>
          <w:szCs w:val="24"/>
        </w:rPr>
        <w:t>государственных и муниципальных нужд»</w:t>
      </w:r>
      <w:r w:rsidR="005F24C7">
        <w:rPr>
          <w:rFonts w:ascii="Times New Roman" w:hAnsi="Times New Roman"/>
          <w:sz w:val="24"/>
          <w:szCs w:val="24"/>
        </w:rPr>
        <w:t>.</w:t>
      </w:r>
    </w:p>
    <w:p w:rsidR="00477B71" w:rsidRDefault="00477B71" w:rsidP="00477B71">
      <w:pPr>
        <w:pStyle w:val="ConsNormal"/>
        <w:widowControl/>
        <w:tabs>
          <w:tab w:val="left" w:pos="1800"/>
        </w:tabs>
        <w:spacing w:before="40" w:after="40"/>
        <w:ind w:firstLine="567"/>
        <w:jc w:val="both"/>
      </w:pPr>
      <w:r w:rsidRPr="002938E6">
        <w:rPr>
          <w:rFonts w:ascii="Times New Roman" w:hAnsi="Times New Roman"/>
          <w:sz w:val="24"/>
          <w:szCs w:val="24"/>
        </w:rPr>
        <w:t>В результате анализа реестра закупок</w:t>
      </w:r>
      <w:r>
        <w:rPr>
          <w:rFonts w:ascii="Times New Roman" w:hAnsi="Times New Roman"/>
          <w:sz w:val="24"/>
          <w:szCs w:val="24"/>
        </w:rPr>
        <w:t xml:space="preserve"> нарушений </w:t>
      </w:r>
      <w:r w:rsidRPr="002715B0">
        <w:rPr>
          <w:rFonts w:ascii="Times New Roman" w:hAnsi="Times New Roman"/>
          <w:sz w:val="24"/>
          <w:szCs w:val="24"/>
        </w:rPr>
        <w:t>Федеральн</w:t>
      </w:r>
      <w:r>
        <w:rPr>
          <w:rFonts w:ascii="Times New Roman" w:hAnsi="Times New Roman"/>
          <w:sz w:val="24"/>
          <w:szCs w:val="24"/>
        </w:rPr>
        <w:t>ого</w:t>
      </w:r>
      <w:r w:rsidRPr="002715B0">
        <w:rPr>
          <w:rFonts w:ascii="Times New Roman" w:hAnsi="Times New Roman"/>
          <w:sz w:val="24"/>
          <w:szCs w:val="24"/>
        </w:rPr>
        <w:t xml:space="preserve"> закон</w:t>
      </w:r>
      <w:r>
        <w:rPr>
          <w:rFonts w:ascii="Times New Roman" w:hAnsi="Times New Roman"/>
          <w:sz w:val="24"/>
          <w:szCs w:val="24"/>
        </w:rPr>
        <w:t>а</w:t>
      </w:r>
      <w:r w:rsidRPr="002715B0">
        <w:rPr>
          <w:rFonts w:ascii="Times New Roman" w:hAnsi="Times New Roman"/>
          <w:sz w:val="24"/>
          <w:szCs w:val="24"/>
        </w:rPr>
        <w:t xml:space="preserve"> от </w:t>
      </w:r>
      <w:r>
        <w:rPr>
          <w:rFonts w:ascii="Times New Roman" w:hAnsi="Times New Roman"/>
          <w:sz w:val="24"/>
          <w:szCs w:val="24"/>
        </w:rPr>
        <w:t>05</w:t>
      </w:r>
      <w:r w:rsidRPr="002715B0">
        <w:rPr>
          <w:rFonts w:ascii="Times New Roman" w:hAnsi="Times New Roman"/>
          <w:sz w:val="24"/>
          <w:szCs w:val="24"/>
        </w:rPr>
        <w:t>.0</w:t>
      </w:r>
      <w:r>
        <w:rPr>
          <w:rFonts w:ascii="Times New Roman" w:hAnsi="Times New Roman"/>
          <w:sz w:val="24"/>
          <w:szCs w:val="24"/>
        </w:rPr>
        <w:t>4</w:t>
      </w:r>
      <w:r w:rsidRPr="002715B0">
        <w:rPr>
          <w:rFonts w:ascii="Times New Roman" w:hAnsi="Times New Roman"/>
          <w:sz w:val="24"/>
          <w:szCs w:val="24"/>
        </w:rPr>
        <w:t>.</w:t>
      </w:r>
      <w:r>
        <w:rPr>
          <w:rFonts w:ascii="Times New Roman" w:hAnsi="Times New Roman"/>
          <w:sz w:val="24"/>
          <w:szCs w:val="24"/>
        </w:rPr>
        <w:t>2014</w:t>
      </w:r>
      <w:r w:rsidRPr="002715B0">
        <w:rPr>
          <w:rFonts w:ascii="Times New Roman" w:hAnsi="Times New Roman"/>
          <w:sz w:val="24"/>
          <w:szCs w:val="24"/>
        </w:rPr>
        <w:t xml:space="preserve"> </w:t>
      </w:r>
      <w:r>
        <w:rPr>
          <w:rFonts w:ascii="Times New Roman" w:hAnsi="Times New Roman"/>
          <w:sz w:val="24"/>
          <w:szCs w:val="24"/>
        </w:rPr>
        <w:t>№</w:t>
      </w:r>
      <w:r w:rsidRPr="002715B0">
        <w:rPr>
          <w:rFonts w:ascii="Times New Roman" w:hAnsi="Times New Roman"/>
          <w:sz w:val="24"/>
          <w:szCs w:val="24"/>
        </w:rPr>
        <w:t xml:space="preserve"> </w:t>
      </w:r>
      <w:r>
        <w:rPr>
          <w:rFonts w:ascii="Times New Roman" w:hAnsi="Times New Roman"/>
          <w:sz w:val="24"/>
          <w:szCs w:val="24"/>
        </w:rPr>
        <w:t>4</w:t>
      </w:r>
      <w:r w:rsidRPr="002715B0">
        <w:rPr>
          <w:rFonts w:ascii="Times New Roman" w:hAnsi="Times New Roman"/>
          <w:sz w:val="24"/>
          <w:szCs w:val="24"/>
        </w:rPr>
        <w:t>4-ФЗ</w:t>
      </w:r>
      <w:r w:rsidRPr="002938E6">
        <w:rPr>
          <w:rFonts w:ascii="Times New Roman" w:hAnsi="Times New Roman"/>
          <w:sz w:val="24"/>
          <w:szCs w:val="24"/>
        </w:rPr>
        <w:t xml:space="preserve"> </w:t>
      </w:r>
      <w:r>
        <w:rPr>
          <w:rFonts w:ascii="Times New Roman" w:hAnsi="Times New Roman"/>
          <w:sz w:val="24"/>
          <w:szCs w:val="24"/>
        </w:rPr>
        <w:t xml:space="preserve">не </w:t>
      </w:r>
      <w:r w:rsidRPr="002938E6">
        <w:rPr>
          <w:rFonts w:ascii="Times New Roman" w:hAnsi="Times New Roman"/>
          <w:sz w:val="24"/>
          <w:szCs w:val="24"/>
        </w:rPr>
        <w:t>выявлено</w:t>
      </w:r>
      <w:r>
        <w:rPr>
          <w:rFonts w:ascii="Times New Roman" w:hAnsi="Times New Roman"/>
          <w:sz w:val="24"/>
          <w:szCs w:val="24"/>
        </w:rPr>
        <w:t>.</w:t>
      </w:r>
    </w:p>
    <w:p w:rsidR="00477B71" w:rsidRPr="003A4E21" w:rsidRDefault="00477B71" w:rsidP="00477B71">
      <w:pPr>
        <w:pStyle w:val="ConsPlusNormal"/>
        <w:ind w:firstLine="540"/>
        <w:jc w:val="both"/>
        <w:rPr>
          <w:rFonts w:ascii="Times New Roman" w:hAnsi="Times New Roman" w:cs="Times New Roman"/>
          <w:i/>
        </w:rPr>
      </w:pPr>
      <w:r>
        <w:rPr>
          <w:rFonts w:ascii="Times New Roman" w:hAnsi="Times New Roman" w:cs="Times New Roman"/>
          <w:sz w:val="24"/>
          <w:szCs w:val="24"/>
        </w:rPr>
        <w:t>Р</w:t>
      </w:r>
      <w:r w:rsidRPr="00664DCF">
        <w:rPr>
          <w:rFonts w:ascii="Times New Roman" w:hAnsi="Times New Roman" w:cs="Times New Roman"/>
          <w:sz w:val="24"/>
          <w:szCs w:val="24"/>
        </w:rPr>
        <w:t>еестр закупок соответствует пункту 2 статьи 73 БК РФ</w:t>
      </w:r>
      <w:r>
        <w:rPr>
          <w:rFonts w:ascii="Times New Roman" w:hAnsi="Times New Roman" w:cs="Times New Roman"/>
          <w:sz w:val="24"/>
          <w:szCs w:val="24"/>
        </w:rPr>
        <w:t>.</w:t>
      </w:r>
    </w:p>
    <w:p w:rsidR="00477B71" w:rsidRDefault="00542603" w:rsidP="00477B71">
      <w:pPr>
        <w:spacing w:before="60"/>
        <w:ind w:firstLine="567"/>
        <w:jc w:val="both"/>
      </w:pPr>
      <w:r w:rsidRPr="00196B6D">
        <w:t>2</w:t>
      </w:r>
      <w:r w:rsidR="00747FF5">
        <w:t>.4</w:t>
      </w:r>
      <w:r w:rsidRPr="00196B6D">
        <w:t xml:space="preserve">. </w:t>
      </w:r>
      <w:r w:rsidRPr="0029403D">
        <w:t>Проанализировано общее соответствие бюджетной отчетности требованиям, предъявляемым Инструкцией, утвержденной Приказом Минфина РФ № 191н от 28.12.</w:t>
      </w:r>
      <w:r w:rsidR="007868F9">
        <w:t>201</w:t>
      </w:r>
      <w:r w:rsidR="004966E0">
        <w:t>0</w:t>
      </w:r>
      <w:r w:rsidR="00477B71">
        <w:t>.</w:t>
      </w:r>
      <w:r w:rsidRPr="0029403D">
        <w:t xml:space="preserve"> </w:t>
      </w:r>
      <w:r w:rsidR="00477B71">
        <w:t>П</w:t>
      </w:r>
      <w:r w:rsidR="00477B71" w:rsidRPr="00DF671F">
        <w:t xml:space="preserve">рисутствуют все обязательные формы, </w:t>
      </w:r>
      <w:r w:rsidR="00477B71" w:rsidRPr="00715C1E">
        <w:rPr>
          <w:b/>
          <w:u w:val="single"/>
        </w:rPr>
        <w:t>однако</w:t>
      </w:r>
      <w:r w:rsidR="00477B71">
        <w:t>:</w:t>
      </w:r>
    </w:p>
    <w:p w:rsidR="00477B71" w:rsidRPr="005B4271" w:rsidRDefault="00477B71" w:rsidP="00477B71">
      <w:pPr>
        <w:spacing w:before="60"/>
        <w:ind w:firstLine="567"/>
        <w:jc w:val="both"/>
      </w:pPr>
      <w:r w:rsidRPr="005B4271">
        <w:t>- не заполнены данные в таблицах № 3</w:t>
      </w:r>
      <w:r w:rsidR="005B4271" w:rsidRPr="005B4271">
        <w:t xml:space="preserve"> «Сведения об исполнении текстовых статей з</w:t>
      </w:r>
      <w:r w:rsidR="005B4271" w:rsidRPr="005B4271">
        <w:t>а</w:t>
      </w:r>
      <w:r w:rsidR="005B4271" w:rsidRPr="005B4271">
        <w:t>кона (решения) о бюджете»</w:t>
      </w:r>
      <w:r w:rsidRPr="005B4271">
        <w:t>,</w:t>
      </w:r>
      <w:r w:rsidR="005B4271" w:rsidRPr="005B4271">
        <w:t xml:space="preserve"> № </w:t>
      </w:r>
      <w:r w:rsidRPr="005B4271">
        <w:t>4</w:t>
      </w:r>
      <w:r w:rsidR="005B4271" w:rsidRPr="005B4271">
        <w:t xml:space="preserve"> «Сведения об особенностях  ведения бюджетного учета»</w:t>
      </w:r>
      <w:r w:rsidRPr="005B4271">
        <w:t>,</w:t>
      </w:r>
      <w:r w:rsidR="005B4271" w:rsidRPr="005B4271">
        <w:t xml:space="preserve"> №</w:t>
      </w:r>
      <w:r w:rsidRPr="005B4271">
        <w:t>5</w:t>
      </w:r>
      <w:r w:rsidR="005B4271">
        <w:t xml:space="preserve"> «</w:t>
      </w:r>
      <w:r w:rsidR="005B4271" w:rsidRPr="005B4271">
        <w:t>Сведения о результатах  мероприятий внутреннего контроля</w:t>
      </w:r>
      <w:r w:rsidR="005B4271">
        <w:t>»</w:t>
      </w:r>
      <w:r w:rsidRPr="005B4271">
        <w:t xml:space="preserve"> к пояснительной записке (ф. 0503160) (</w:t>
      </w:r>
      <w:r w:rsidRPr="005B4271">
        <w:rPr>
          <w:b/>
          <w:i/>
        </w:rPr>
        <w:t>на данное замечание было указано в экспертных заключениях по результ</w:t>
      </w:r>
      <w:r w:rsidRPr="005B4271">
        <w:rPr>
          <w:b/>
          <w:i/>
        </w:rPr>
        <w:t>а</w:t>
      </w:r>
      <w:r w:rsidRPr="005B4271">
        <w:rPr>
          <w:b/>
          <w:i/>
        </w:rPr>
        <w:t>там внешней проверки годовых отчётов об исполнении бюджета за 2013, 2014 годы</w:t>
      </w:r>
      <w:r w:rsidRPr="005B4271">
        <w:t>);</w:t>
      </w:r>
    </w:p>
    <w:p w:rsidR="00477B71" w:rsidRDefault="00477B71" w:rsidP="00477B71">
      <w:pPr>
        <w:spacing w:before="40"/>
        <w:ind w:firstLine="567"/>
        <w:jc w:val="both"/>
        <w:rPr>
          <w:spacing w:val="-2"/>
        </w:rPr>
      </w:pPr>
      <w:r w:rsidRPr="00213CAB">
        <w:rPr>
          <w:spacing w:val="-2"/>
        </w:rPr>
        <w:t xml:space="preserve">- </w:t>
      </w:r>
      <w:r>
        <w:rPr>
          <w:spacing w:val="-2"/>
        </w:rPr>
        <w:t xml:space="preserve">согласно </w:t>
      </w:r>
      <w:r w:rsidRPr="00213CAB">
        <w:rPr>
          <w:spacing w:val="-2"/>
        </w:rPr>
        <w:t>данны</w:t>
      </w:r>
      <w:r>
        <w:rPr>
          <w:spacing w:val="-2"/>
        </w:rPr>
        <w:t>м</w:t>
      </w:r>
      <w:r w:rsidRPr="00213CAB">
        <w:rPr>
          <w:spacing w:val="-2"/>
        </w:rPr>
        <w:t xml:space="preserve"> таблицы</w:t>
      </w:r>
      <w:r>
        <w:rPr>
          <w:spacing w:val="-2"/>
        </w:rPr>
        <w:t xml:space="preserve"> № 6</w:t>
      </w:r>
      <w:r w:rsidRPr="00213CAB">
        <w:rPr>
          <w:spacing w:val="-2"/>
        </w:rPr>
        <w:t xml:space="preserve"> «</w:t>
      </w:r>
      <w:r w:rsidRPr="00FE740F">
        <w:rPr>
          <w:bCs/>
          <w:spacing w:val="-2"/>
        </w:rPr>
        <w:t>Сведения о проведении инвентаризаций</w:t>
      </w:r>
      <w:r w:rsidRPr="00213CAB">
        <w:rPr>
          <w:spacing w:val="-2"/>
        </w:rPr>
        <w:t>» к поясн</w:t>
      </w:r>
      <w:r w:rsidRPr="00213CAB">
        <w:rPr>
          <w:spacing w:val="-2"/>
        </w:rPr>
        <w:t>и</w:t>
      </w:r>
      <w:r w:rsidRPr="00213CAB">
        <w:rPr>
          <w:spacing w:val="-2"/>
        </w:rPr>
        <w:t xml:space="preserve">тельной записке (ф. 0503160) </w:t>
      </w:r>
      <w:r>
        <w:rPr>
          <w:spacing w:val="-2"/>
        </w:rPr>
        <w:t xml:space="preserve">инвентаризация имущества и обязательств </w:t>
      </w:r>
      <w:r w:rsidRPr="00213CAB">
        <w:rPr>
          <w:spacing w:val="-2"/>
        </w:rPr>
        <w:t xml:space="preserve">не </w:t>
      </w:r>
      <w:r>
        <w:rPr>
          <w:spacing w:val="-2"/>
        </w:rPr>
        <w:t xml:space="preserve">проводилась, </w:t>
      </w:r>
      <w:r w:rsidRPr="00FE740F">
        <w:rPr>
          <w:b/>
          <w:i/>
          <w:spacing w:val="-2"/>
        </w:rPr>
        <w:t>тем самым нарушен пункт 27 Положения по ведению бухгалтерского учёта и бухгалтерской отчётности в Российской Федерации, утверждённого приказом Министерства финансов Российской Федерации от 29.07.1998 № 34н:</w:t>
      </w:r>
    </w:p>
    <w:p w:rsidR="00477B71" w:rsidRPr="00FE740F" w:rsidRDefault="00477B71" w:rsidP="00477B71">
      <w:pPr>
        <w:pStyle w:val="ConsPlusNormal"/>
        <w:spacing w:before="20"/>
        <w:ind w:firstLine="540"/>
        <w:jc w:val="both"/>
        <w:rPr>
          <w:rFonts w:ascii="Times New Roman" w:hAnsi="Times New Roman" w:cs="Times New Roman"/>
          <w:i/>
        </w:rPr>
      </w:pPr>
      <w:r w:rsidRPr="00FE740F">
        <w:rPr>
          <w:rFonts w:ascii="Times New Roman" w:hAnsi="Times New Roman" w:cs="Times New Roman"/>
          <w:i/>
          <w:spacing w:val="-2"/>
        </w:rPr>
        <w:t>«</w:t>
      </w:r>
      <w:r w:rsidRPr="00FE740F">
        <w:rPr>
          <w:rFonts w:ascii="Times New Roman" w:hAnsi="Times New Roman" w:cs="Times New Roman"/>
          <w:i/>
        </w:rPr>
        <w:t>27. Проведение инвентаризации обязательно:</w:t>
      </w:r>
    </w:p>
    <w:p w:rsidR="00477B71" w:rsidRPr="00FE740F" w:rsidRDefault="00477B71" w:rsidP="00477B71">
      <w:pPr>
        <w:pStyle w:val="ConsPlusNormal"/>
        <w:spacing w:before="20"/>
        <w:ind w:firstLine="540"/>
        <w:jc w:val="both"/>
        <w:rPr>
          <w:rFonts w:ascii="Times New Roman" w:hAnsi="Times New Roman" w:cs="Times New Roman"/>
          <w:i/>
          <w:spacing w:val="-2"/>
        </w:rPr>
      </w:pPr>
      <w:r w:rsidRPr="00FE740F">
        <w:rPr>
          <w:rFonts w:ascii="Times New Roman" w:hAnsi="Times New Roman" w:cs="Times New Roman"/>
          <w:i/>
        </w:rPr>
        <w:t>перед составлением годовой бухгалтерской отчетности (кроме имущества, инвентаризация которого проводилась не ранее 1 октября отчетного года);</w:t>
      </w:r>
    </w:p>
    <w:p w:rsidR="00477B71" w:rsidRPr="00213CAB" w:rsidRDefault="00477B71" w:rsidP="00477B71">
      <w:pPr>
        <w:spacing w:before="20"/>
        <w:ind w:firstLine="567"/>
        <w:jc w:val="both"/>
      </w:pPr>
      <w:r>
        <w:t>- в таблице № 7 «</w:t>
      </w:r>
      <w:r w:rsidRPr="00114F05">
        <w:t>Сведения о результатах внешнего государственного (муниципальн</w:t>
      </w:r>
      <w:r w:rsidRPr="00114F05">
        <w:t>о</w:t>
      </w:r>
      <w:r w:rsidRPr="00114F05">
        <w:t>го) финансового контроля</w:t>
      </w:r>
      <w:r>
        <w:t>»</w:t>
      </w:r>
      <w:r w:rsidRPr="00DF671F">
        <w:t xml:space="preserve"> к пояснительной записке</w:t>
      </w:r>
      <w:r>
        <w:t xml:space="preserve"> (ф. 0503160) отсутствует информация о внешней проверке годового отчёта за 2014 год;</w:t>
      </w:r>
    </w:p>
    <w:p w:rsidR="00477B71" w:rsidRPr="00477B71" w:rsidRDefault="00477B71" w:rsidP="00477B71">
      <w:pPr>
        <w:spacing w:before="60"/>
        <w:ind w:firstLine="567"/>
        <w:jc w:val="both"/>
      </w:pPr>
      <w:r w:rsidRPr="00477B71">
        <w:t>- в форме 0503164 «Сведения об исполнении бюджета» не указаны причины отклон</w:t>
      </w:r>
      <w:r w:rsidRPr="00477B71">
        <w:t>е</w:t>
      </w:r>
      <w:r w:rsidRPr="00477B71">
        <w:t>ний (</w:t>
      </w:r>
      <w:r w:rsidRPr="00477B71">
        <w:rPr>
          <w:b/>
          <w:i/>
        </w:rPr>
        <w:t>на данное замечание было указано в экспертных заключениях по результатам внешней проверки годовых отчётов об исполнении бюджета за 2013, 2014 годы</w:t>
      </w:r>
      <w:r w:rsidRPr="00477B71">
        <w:t>);</w:t>
      </w:r>
    </w:p>
    <w:p w:rsidR="00477B71" w:rsidRPr="00715C1E" w:rsidRDefault="00477B71" w:rsidP="00477B71">
      <w:pPr>
        <w:spacing w:before="20"/>
        <w:ind w:firstLine="567"/>
        <w:jc w:val="both"/>
      </w:pPr>
      <w:r w:rsidRPr="00715C1E">
        <w:t xml:space="preserve">- в форме 0503177 «Сведения об использовании информационно-коммуникационных технологий» не </w:t>
      </w:r>
      <w:r w:rsidR="00845194">
        <w:t xml:space="preserve">по всем позициям </w:t>
      </w:r>
      <w:r w:rsidRPr="00715C1E">
        <w:t>указаны</w:t>
      </w:r>
      <w:r>
        <w:t xml:space="preserve"> о</w:t>
      </w:r>
      <w:r w:rsidRPr="00715C1E">
        <w:t>сновные цели произведенных расходов</w:t>
      </w:r>
      <w:r>
        <w:t>.</w:t>
      </w:r>
    </w:p>
    <w:p w:rsidR="007868F9" w:rsidRPr="00466972" w:rsidRDefault="007868F9" w:rsidP="007868F9">
      <w:pPr>
        <w:spacing w:before="60"/>
        <w:ind w:firstLine="567"/>
        <w:jc w:val="both"/>
      </w:pPr>
      <w:r w:rsidRPr="00466972">
        <w:t>2.</w:t>
      </w:r>
      <w:r w:rsidR="00747FF5" w:rsidRPr="00466972">
        <w:t>5</w:t>
      </w:r>
      <w:r w:rsidRPr="00466972">
        <w:t>. Из формы 0503169 «Сведения о дебиторской и кредиторской задолженности» сл</w:t>
      </w:r>
      <w:r w:rsidRPr="00466972">
        <w:t>е</w:t>
      </w:r>
      <w:r w:rsidRPr="00466972">
        <w:t>дует, что дебиторская задолженность на 01.01.</w:t>
      </w:r>
      <w:r w:rsidR="003A58A3">
        <w:t>2016</w:t>
      </w:r>
      <w:r w:rsidRPr="00466972">
        <w:t xml:space="preserve"> </w:t>
      </w:r>
      <w:r w:rsidR="00845194">
        <w:t>составляет 4574,17 руб.</w:t>
      </w:r>
      <w:r w:rsidRPr="00466972">
        <w:t xml:space="preserve"> Данные  формы 0503169 соответствуют данным формы 0503120 «Баланс исполнения бюджета». </w:t>
      </w:r>
      <w:r w:rsidR="00845194">
        <w:t xml:space="preserve">На </w:t>
      </w:r>
      <w:r w:rsidR="00845194" w:rsidRPr="00466972">
        <w:t>01.01.</w:t>
      </w:r>
      <w:r w:rsidR="00845194">
        <w:t>2015</w:t>
      </w:r>
      <w:r w:rsidR="00845194" w:rsidRPr="00466972">
        <w:t xml:space="preserve"> </w:t>
      </w:r>
      <w:r w:rsidRPr="00466972">
        <w:t>дебиторск</w:t>
      </w:r>
      <w:r w:rsidR="00845194">
        <w:t>ая</w:t>
      </w:r>
      <w:r w:rsidRPr="00466972">
        <w:t xml:space="preserve"> задолженност</w:t>
      </w:r>
      <w:r w:rsidR="00845194">
        <w:t>ь отсутствовала</w:t>
      </w:r>
      <w:r w:rsidRPr="00466972">
        <w:t>.</w:t>
      </w:r>
    </w:p>
    <w:p w:rsidR="009465AA" w:rsidRPr="00117380" w:rsidRDefault="007868F9" w:rsidP="007868F9">
      <w:pPr>
        <w:spacing w:before="60"/>
        <w:ind w:firstLine="567"/>
        <w:jc w:val="both"/>
        <w:rPr>
          <w:i/>
        </w:rPr>
      </w:pPr>
      <w:r w:rsidRPr="00C20A7B">
        <w:t xml:space="preserve">Из формы 0503169 «Сведения о дебиторской и кредиторской задолженности» следует, что кредиторская задолженность – </w:t>
      </w:r>
      <w:r w:rsidR="00845194">
        <w:t>5682878,</w:t>
      </w:r>
      <w:r w:rsidR="00845194" w:rsidRPr="00845194">
        <w:t>26</w:t>
      </w:r>
      <w:r w:rsidR="00845194">
        <w:t xml:space="preserve"> </w:t>
      </w:r>
      <w:r w:rsidRPr="00C20A7B">
        <w:t xml:space="preserve">руб. Данные  формы 0503169 </w:t>
      </w:r>
      <w:r w:rsidR="00117380">
        <w:t xml:space="preserve">не </w:t>
      </w:r>
      <w:r w:rsidRPr="00C20A7B">
        <w:t>соответств</w:t>
      </w:r>
      <w:r w:rsidRPr="00C20A7B">
        <w:t>у</w:t>
      </w:r>
      <w:r w:rsidRPr="00C20A7B">
        <w:t>ют данным формы 0503120 «Баланс исполнения бюджета»</w:t>
      </w:r>
      <w:r w:rsidR="00117380">
        <w:t xml:space="preserve"> </w:t>
      </w:r>
      <w:r w:rsidR="00117380" w:rsidRPr="00C20A7B">
        <w:t>–</w:t>
      </w:r>
      <w:r w:rsidR="00117380">
        <w:t xml:space="preserve"> </w:t>
      </w:r>
      <w:r w:rsidR="00117380" w:rsidRPr="00117380">
        <w:t>5674538,26</w:t>
      </w:r>
      <w:r w:rsidR="00117380">
        <w:t xml:space="preserve"> руб. </w:t>
      </w:r>
      <w:r w:rsidR="00117380" w:rsidRPr="00117380">
        <w:rPr>
          <w:i/>
        </w:rPr>
        <w:t>Разница – 8340,00 руб.</w:t>
      </w:r>
      <w:r w:rsidRPr="00C20A7B">
        <w:t xml:space="preserve"> Объём кредиторской задолженности по сравнению с </w:t>
      </w:r>
      <w:r w:rsidR="003A58A3">
        <w:t>2014</w:t>
      </w:r>
      <w:r w:rsidRPr="00C20A7B">
        <w:t xml:space="preserve"> годом </w:t>
      </w:r>
      <w:r w:rsidR="00117380">
        <w:t>увеличился в 14599 раз</w:t>
      </w:r>
      <w:r w:rsidR="005E4A26" w:rsidRPr="00C04DCD">
        <w:t>.</w:t>
      </w:r>
      <w:r w:rsidR="00117380">
        <w:t xml:space="preserve"> </w:t>
      </w:r>
      <w:r w:rsidR="00117380" w:rsidRPr="00117380">
        <w:rPr>
          <w:i/>
        </w:rPr>
        <w:t>Информация о причинах значительного увеличения объёма кредиторской задо</w:t>
      </w:r>
      <w:r w:rsidR="00117380" w:rsidRPr="00117380">
        <w:rPr>
          <w:i/>
        </w:rPr>
        <w:t>л</w:t>
      </w:r>
      <w:r w:rsidR="00117380" w:rsidRPr="00117380">
        <w:rPr>
          <w:i/>
        </w:rPr>
        <w:t>женности в пояснительной записке отсутствует.</w:t>
      </w:r>
    </w:p>
    <w:p w:rsidR="009E2890" w:rsidRPr="0029403D" w:rsidRDefault="007420F7" w:rsidP="004E327D">
      <w:pPr>
        <w:pStyle w:val="1"/>
      </w:pPr>
      <w:r w:rsidRPr="0029403D">
        <w:lastRenderedPageBreak/>
        <w:t>3</w:t>
      </w:r>
      <w:r w:rsidR="009E2890" w:rsidRPr="0029403D">
        <w:t xml:space="preserve">. Анализ долговой политики </w:t>
      </w:r>
      <w:r w:rsidR="00BB164D">
        <w:t>Марш</w:t>
      </w:r>
      <w:r w:rsidR="00B0167B">
        <w:t>ан</w:t>
      </w:r>
      <w:r w:rsidR="003D3C03" w:rsidRPr="0029403D">
        <w:t>ского сельсовета</w:t>
      </w:r>
    </w:p>
    <w:p w:rsidR="007420F7" w:rsidRDefault="007420F7" w:rsidP="007420F7">
      <w:pPr>
        <w:ind w:firstLine="567"/>
        <w:jc w:val="both"/>
      </w:pPr>
      <w:r w:rsidRPr="0029403D">
        <w:t xml:space="preserve">Согласно </w:t>
      </w:r>
      <w:r w:rsidR="00135AAE" w:rsidRPr="0029403D">
        <w:t>о</w:t>
      </w:r>
      <w:r w:rsidR="00726D20" w:rsidRPr="0029403D">
        <w:t xml:space="preserve">тчёту об исполнении </w:t>
      </w:r>
      <w:r w:rsidR="00C218BA" w:rsidRPr="0029403D">
        <w:t xml:space="preserve">местного </w:t>
      </w:r>
      <w:r w:rsidR="00726D20" w:rsidRPr="0029403D">
        <w:t xml:space="preserve">бюджета за </w:t>
      </w:r>
      <w:r w:rsidR="003A58A3">
        <w:t>2015</w:t>
      </w:r>
      <w:r w:rsidR="00726D20" w:rsidRPr="0029403D">
        <w:t xml:space="preserve"> год</w:t>
      </w:r>
      <w:r w:rsidRPr="0029403D">
        <w:t xml:space="preserve">, доходы </w:t>
      </w:r>
      <w:r w:rsidR="00882C08" w:rsidRPr="0029403D">
        <w:t>местного бю</w:t>
      </w:r>
      <w:r w:rsidR="00882C08" w:rsidRPr="0029403D">
        <w:t>д</w:t>
      </w:r>
      <w:r w:rsidR="00882C08" w:rsidRPr="0029403D">
        <w:t>жета</w:t>
      </w:r>
      <w:r w:rsidRPr="0029403D">
        <w:t xml:space="preserve"> за </w:t>
      </w:r>
      <w:r w:rsidR="003A58A3">
        <w:t>2015</w:t>
      </w:r>
      <w:r w:rsidRPr="0029403D">
        <w:rPr>
          <w:lang w:val="en-US"/>
        </w:rPr>
        <w:t> </w:t>
      </w:r>
      <w:r w:rsidRPr="0029403D">
        <w:t>г</w:t>
      </w:r>
      <w:r w:rsidR="00882C08" w:rsidRPr="0029403D">
        <w:t>од</w:t>
      </w:r>
      <w:r w:rsidRPr="0029403D">
        <w:t xml:space="preserve"> исполнены в объ</w:t>
      </w:r>
      <w:r w:rsidR="00A46E1E" w:rsidRPr="0029403D">
        <w:t>ё</w:t>
      </w:r>
      <w:r w:rsidRPr="0029403D">
        <w:t xml:space="preserve">ме </w:t>
      </w:r>
      <w:r w:rsidR="00A91DD1">
        <w:t>16314,8</w:t>
      </w:r>
      <w:r w:rsidR="00726D20" w:rsidRPr="0029403D">
        <w:t xml:space="preserve"> </w:t>
      </w:r>
      <w:r w:rsidRPr="0029403D">
        <w:t>тыс.</w:t>
      </w:r>
      <w:r w:rsidR="00726D20" w:rsidRPr="0029403D">
        <w:t xml:space="preserve"> </w:t>
      </w:r>
      <w:r w:rsidR="00CA485C" w:rsidRPr="0029403D">
        <w:t>руб.</w:t>
      </w:r>
      <w:r w:rsidRPr="0029403D">
        <w:t>, расходы</w:t>
      </w:r>
      <w:r w:rsidR="00C218BA" w:rsidRPr="0029403D">
        <w:t xml:space="preserve"> – </w:t>
      </w:r>
      <w:r w:rsidRPr="0029403D">
        <w:t>в объ</w:t>
      </w:r>
      <w:r w:rsidR="00A46E1E" w:rsidRPr="0029403D">
        <w:t>ё</w:t>
      </w:r>
      <w:r w:rsidRPr="0029403D">
        <w:t xml:space="preserve">ме </w:t>
      </w:r>
      <w:r w:rsidR="00A91DD1">
        <w:t>16497,3</w:t>
      </w:r>
      <w:r w:rsidR="00BE2D15" w:rsidRPr="0029403D">
        <w:t xml:space="preserve"> тыс. </w:t>
      </w:r>
      <w:r w:rsidR="00CA485C" w:rsidRPr="0029403D">
        <w:t>руб.</w:t>
      </w:r>
      <w:r w:rsidRPr="0029403D">
        <w:t xml:space="preserve"> Соответственно</w:t>
      </w:r>
      <w:r w:rsidR="00A46E1E" w:rsidRPr="0029403D">
        <w:t>,</w:t>
      </w:r>
      <w:r w:rsidRPr="0029403D">
        <w:t xml:space="preserve"> </w:t>
      </w:r>
      <w:r w:rsidR="00A91DD1">
        <w:t>де</w:t>
      </w:r>
      <w:r w:rsidR="00976773" w:rsidRPr="0029403D">
        <w:t>фицит</w:t>
      </w:r>
      <w:r w:rsidR="00976773">
        <w:t xml:space="preserve"> </w:t>
      </w:r>
      <w:r w:rsidR="00C218BA" w:rsidRPr="0029403D">
        <w:t xml:space="preserve">местного </w:t>
      </w:r>
      <w:r w:rsidRPr="0029403D">
        <w:t xml:space="preserve">бюджета составил </w:t>
      </w:r>
      <w:r w:rsidR="00A91DD1">
        <w:t>182,5</w:t>
      </w:r>
      <w:r w:rsidR="00A46E1E" w:rsidRPr="0029403D">
        <w:t xml:space="preserve"> </w:t>
      </w:r>
      <w:r w:rsidRPr="0029403D">
        <w:t>тыс.</w:t>
      </w:r>
      <w:r w:rsidR="00A46E1E" w:rsidRPr="0029403D">
        <w:t xml:space="preserve"> </w:t>
      </w:r>
      <w:r w:rsidR="00CA485C" w:rsidRPr="0029403D">
        <w:t>руб.</w:t>
      </w:r>
      <w:r w:rsidRPr="0029403D">
        <w:t xml:space="preserve">, </w:t>
      </w:r>
      <w:r w:rsidR="002C488D" w:rsidRPr="0029403D">
        <w:t xml:space="preserve">в </w:t>
      </w:r>
      <w:r w:rsidR="003A58A3">
        <w:t>2014</w:t>
      </w:r>
      <w:r w:rsidR="002C488D" w:rsidRPr="0029403D">
        <w:t xml:space="preserve"> году местный бюджет был исполнен с </w:t>
      </w:r>
      <w:r w:rsidR="00A91DD1">
        <w:t>про</w:t>
      </w:r>
      <w:r w:rsidR="002C488D" w:rsidRPr="0029403D">
        <w:t xml:space="preserve">фицитом </w:t>
      </w:r>
      <w:r w:rsidR="00A91DD1">
        <w:t>96,2</w:t>
      </w:r>
      <w:r w:rsidR="00466972" w:rsidRPr="0029403D">
        <w:t xml:space="preserve"> </w:t>
      </w:r>
      <w:r w:rsidRPr="0029403D">
        <w:t>тыс.</w:t>
      </w:r>
      <w:r w:rsidR="002C488D" w:rsidRPr="0029403D">
        <w:t xml:space="preserve"> </w:t>
      </w:r>
      <w:r w:rsidR="00CA485C" w:rsidRPr="0029403D">
        <w:t>руб.</w:t>
      </w:r>
    </w:p>
    <w:p w:rsidR="00A91DD1" w:rsidRPr="000B6B29" w:rsidRDefault="00A91DD1" w:rsidP="004E327D">
      <w:pPr>
        <w:spacing w:before="60"/>
        <w:ind w:firstLine="567"/>
        <w:jc w:val="both"/>
        <w:rPr>
          <w:spacing w:val="-2"/>
        </w:rPr>
      </w:pPr>
      <w:r w:rsidRPr="000B6B29">
        <w:rPr>
          <w:spacing w:val="-2"/>
        </w:rPr>
        <w:t>Предельный размер дефицита местного бюджета превысил установленный вторым абз</w:t>
      </w:r>
      <w:r w:rsidRPr="000B6B29">
        <w:rPr>
          <w:spacing w:val="-2"/>
        </w:rPr>
        <w:t>а</w:t>
      </w:r>
      <w:r w:rsidRPr="000B6B29">
        <w:rPr>
          <w:spacing w:val="-2"/>
        </w:rPr>
        <w:t xml:space="preserve">цем пункта 3 статьи 92.1 БК РФ уровень (5%) и составил </w:t>
      </w:r>
      <w:r>
        <w:rPr>
          <w:spacing w:val="-2"/>
        </w:rPr>
        <w:t>10,8</w:t>
      </w:r>
      <w:r w:rsidRPr="000B6B29">
        <w:rPr>
          <w:spacing w:val="-2"/>
        </w:rPr>
        <w:t xml:space="preserve">% </w:t>
      </w:r>
      <w:r>
        <w:rPr>
          <w:color w:val="000000"/>
        </w:rPr>
        <w:t>утверждё</w:t>
      </w:r>
      <w:r w:rsidRPr="000B2C42">
        <w:rPr>
          <w:color w:val="000000"/>
        </w:rPr>
        <w:t>нного общего год</w:t>
      </w:r>
      <w:r w:rsidRPr="000B2C42">
        <w:rPr>
          <w:color w:val="000000"/>
        </w:rPr>
        <w:t>о</w:t>
      </w:r>
      <w:r w:rsidRPr="000B2C42">
        <w:rPr>
          <w:color w:val="000000"/>
        </w:rPr>
        <w:t xml:space="preserve">вого </w:t>
      </w:r>
      <w:r>
        <w:rPr>
          <w:color w:val="000000"/>
        </w:rPr>
        <w:t>объё</w:t>
      </w:r>
      <w:r w:rsidRPr="000B2C42">
        <w:rPr>
          <w:color w:val="000000"/>
        </w:rPr>
        <w:t>ма доходов бюджета без уч</w:t>
      </w:r>
      <w:r>
        <w:rPr>
          <w:color w:val="000000"/>
        </w:rPr>
        <w:t>ё</w:t>
      </w:r>
      <w:r w:rsidRPr="000B2C42">
        <w:rPr>
          <w:color w:val="000000"/>
        </w:rPr>
        <w:t xml:space="preserve">та </w:t>
      </w:r>
      <w:r>
        <w:rPr>
          <w:color w:val="000000"/>
        </w:rPr>
        <w:t>утверждё</w:t>
      </w:r>
      <w:r w:rsidRPr="000B2C42">
        <w:rPr>
          <w:color w:val="000000"/>
        </w:rPr>
        <w:t xml:space="preserve">нного </w:t>
      </w:r>
      <w:r>
        <w:rPr>
          <w:color w:val="000000"/>
        </w:rPr>
        <w:t>объё</w:t>
      </w:r>
      <w:r w:rsidRPr="000B2C42">
        <w:rPr>
          <w:color w:val="000000"/>
        </w:rPr>
        <w:t>ма безвозмездных поступлений</w:t>
      </w:r>
      <w:r w:rsidRPr="000B6B29">
        <w:rPr>
          <w:spacing w:val="-2"/>
        </w:rPr>
        <w:t>. Но, в соответствие третьему абзацу пункта 3 статьи 92.1 БК РФ это допустимо, так как исто</w:t>
      </w:r>
      <w:r w:rsidRPr="000B6B29">
        <w:rPr>
          <w:spacing w:val="-2"/>
        </w:rPr>
        <w:t>ч</w:t>
      </w:r>
      <w:r w:rsidRPr="000B6B29">
        <w:rPr>
          <w:spacing w:val="-2"/>
        </w:rPr>
        <w:t xml:space="preserve">ником финансирования дефицита бюджета утверждено </w:t>
      </w:r>
      <w:r>
        <w:rPr>
          <w:spacing w:val="-2"/>
        </w:rPr>
        <w:t>изменение</w:t>
      </w:r>
      <w:r w:rsidRPr="000B6B29">
        <w:rPr>
          <w:spacing w:val="-2"/>
        </w:rPr>
        <w:t xml:space="preserve"> остатков средств на счетах по учету средств местного бюджета.</w:t>
      </w:r>
    </w:p>
    <w:p w:rsidR="009D0022" w:rsidRPr="0029403D" w:rsidRDefault="009D0022" w:rsidP="004E327D">
      <w:pPr>
        <w:spacing w:before="60"/>
        <w:ind w:firstLine="567"/>
        <w:jc w:val="both"/>
      </w:pPr>
      <w:r w:rsidRPr="00F21E1B">
        <w:t xml:space="preserve">Следует отметить, что при планировании местного бюджета на </w:t>
      </w:r>
      <w:r w:rsidR="003A58A3">
        <w:t>2015</w:t>
      </w:r>
      <w:r w:rsidRPr="00F21E1B">
        <w:t xml:space="preserve"> год правильно учтены остатки средств на счетах в органе казначейства, а именно, </w:t>
      </w:r>
      <w:r w:rsidR="00B06AD0" w:rsidRPr="00F21E1B">
        <w:t>согласно отчёту формы 0503140 «Баланс по поступлениям и выбытиям бюджетных средств»</w:t>
      </w:r>
      <w:r w:rsidRPr="00F21E1B">
        <w:t xml:space="preserve"> остаток средств на 01.01.</w:t>
      </w:r>
      <w:r w:rsidR="003A58A3">
        <w:t>2015</w:t>
      </w:r>
      <w:r w:rsidRPr="00F21E1B">
        <w:t xml:space="preserve"> – </w:t>
      </w:r>
      <w:r w:rsidR="00A91DD1" w:rsidRPr="00A91DD1">
        <w:t>615</w:t>
      </w:r>
      <w:r w:rsidR="007E0ED1">
        <w:t xml:space="preserve"> </w:t>
      </w:r>
      <w:r w:rsidR="00A91DD1" w:rsidRPr="00A91DD1">
        <w:t>374,58</w:t>
      </w:r>
      <w:r w:rsidR="00A91DD1">
        <w:t xml:space="preserve"> </w:t>
      </w:r>
      <w:r w:rsidRPr="00F21E1B">
        <w:t xml:space="preserve">руб., фактически в источниках финансирования дефицита бюджета запланировано </w:t>
      </w:r>
      <w:r w:rsidR="00A91DD1" w:rsidRPr="00A91DD1">
        <w:t>615</w:t>
      </w:r>
      <w:r w:rsidR="007E0ED1">
        <w:t xml:space="preserve"> </w:t>
      </w:r>
      <w:r w:rsidR="00A91DD1" w:rsidRPr="00A91DD1">
        <w:t>374,58</w:t>
      </w:r>
      <w:r w:rsidR="00A91DD1">
        <w:t xml:space="preserve"> </w:t>
      </w:r>
      <w:r w:rsidRPr="00F21E1B">
        <w:t>руб. Несоответстви</w:t>
      </w:r>
      <w:r w:rsidR="0042162E">
        <w:t>я нет</w:t>
      </w:r>
      <w:r w:rsidR="00F21E1B" w:rsidRPr="00F21E1B">
        <w:t>.</w:t>
      </w:r>
    </w:p>
    <w:p w:rsidR="00F17157" w:rsidRPr="0029403D" w:rsidRDefault="00665379" w:rsidP="004E327D">
      <w:pPr>
        <w:pStyle w:val="1"/>
      </w:pPr>
      <w:r w:rsidRPr="0029403D">
        <w:t>4</w:t>
      </w:r>
      <w:r w:rsidR="00923DA5" w:rsidRPr="0029403D">
        <w:t>. </w:t>
      </w:r>
      <w:r w:rsidR="00F17157" w:rsidRPr="0029403D">
        <w:t xml:space="preserve">Анализ </w:t>
      </w:r>
      <w:r w:rsidR="00287802" w:rsidRPr="0029403D">
        <w:t>исполнения</w:t>
      </w:r>
      <w:r w:rsidR="00F17157" w:rsidRPr="0029403D">
        <w:t xml:space="preserve"> доходов </w:t>
      </w:r>
      <w:r w:rsidR="00882C08" w:rsidRPr="0029403D">
        <w:t>местного бюджета</w:t>
      </w:r>
    </w:p>
    <w:p w:rsidR="00816F79" w:rsidRDefault="00F1605F" w:rsidP="00254658">
      <w:pPr>
        <w:ind w:firstLine="567"/>
        <w:jc w:val="both"/>
      </w:pPr>
      <w:r w:rsidRPr="004E49FA">
        <w:t xml:space="preserve">Местный бюджет на </w:t>
      </w:r>
      <w:r w:rsidR="003A58A3">
        <w:t>2015</w:t>
      </w:r>
      <w:r w:rsidRPr="004E49FA">
        <w:t xml:space="preserve"> год по доходам в </w:t>
      </w:r>
      <w:r w:rsidR="00200EDB" w:rsidRPr="004E49FA">
        <w:t>объёме</w:t>
      </w:r>
      <w:r w:rsidRPr="004E49FA">
        <w:t xml:space="preserve"> </w:t>
      </w:r>
      <w:r w:rsidR="00117380">
        <w:t>9294,29</w:t>
      </w:r>
      <w:r w:rsidR="00200EDB" w:rsidRPr="004E49FA">
        <w:t xml:space="preserve"> тыс. </w:t>
      </w:r>
      <w:r w:rsidR="00CA485C" w:rsidRPr="004E49FA">
        <w:t>руб.</w:t>
      </w:r>
      <w:r w:rsidRPr="004E49FA">
        <w:t xml:space="preserve"> утверждён</w:t>
      </w:r>
      <w:r w:rsidR="00200EDB" w:rsidRPr="004E49FA">
        <w:t xml:space="preserve"> реш</w:t>
      </w:r>
      <w:r w:rsidR="00200EDB" w:rsidRPr="004E49FA">
        <w:t>е</w:t>
      </w:r>
      <w:r w:rsidR="00200EDB" w:rsidRPr="004E49FA">
        <w:t xml:space="preserve">нием </w:t>
      </w:r>
      <w:r w:rsidR="00117380">
        <w:t>38</w:t>
      </w:r>
      <w:r w:rsidR="00200EDB" w:rsidRPr="004E49FA">
        <w:t xml:space="preserve"> сессии 4 созыва Совета депутатов </w:t>
      </w:r>
      <w:r w:rsidR="00BB164D">
        <w:t>Марш</w:t>
      </w:r>
      <w:r w:rsidR="00B0167B">
        <w:t>ан</w:t>
      </w:r>
      <w:r w:rsidR="00200EDB" w:rsidRPr="004E49FA">
        <w:t>ского сельсовета Каргатского района Н</w:t>
      </w:r>
      <w:r w:rsidR="00200EDB" w:rsidRPr="004E49FA">
        <w:t>о</w:t>
      </w:r>
      <w:r w:rsidR="00200EDB" w:rsidRPr="004E49FA">
        <w:t>восибирской области</w:t>
      </w:r>
      <w:r w:rsidR="00E676E9" w:rsidRPr="004E49FA">
        <w:t xml:space="preserve"> о</w:t>
      </w:r>
      <w:r w:rsidR="00EB40C2">
        <w:t>т</w:t>
      </w:r>
      <w:r w:rsidR="00E676E9" w:rsidRPr="004E49FA">
        <w:t xml:space="preserve"> </w:t>
      </w:r>
      <w:r w:rsidR="00117380">
        <w:t>23</w:t>
      </w:r>
      <w:r w:rsidR="00E676E9" w:rsidRPr="004E49FA">
        <w:t>.1</w:t>
      </w:r>
      <w:r w:rsidR="0002466F" w:rsidRPr="004E49FA">
        <w:t>2</w:t>
      </w:r>
      <w:r w:rsidR="00E676E9" w:rsidRPr="004E49FA">
        <w:t>.</w:t>
      </w:r>
      <w:r w:rsidR="003A58A3">
        <w:t>2014</w:t>
      </w:r>
      <w:r w:rsidR="00E676E9" w:rsidRPr="004E49FA">
        <w:t xml:space="preserve"> № </w:t>
      </w:r>
      <w:r w:rsidR="00117380">
        <w:t>204</w:t>
      </w:r>
      <w:r w:rsidR="00E676E9" w:rsidRPr="00816F79">
        <w:t>.</w:t>
      </w:r>
      <w:r w:rsidR="003D4373" w:rsidRPr="00816F79">
        <w:t xml:space="preserve"> </w:t>
      </w:r>
    </w:p>
    <w:p w:rsidR="00237429" w:rsidRPr="00AC466B" w:rsidRDefault="001A2085" w:rsidP="004E327D">
      <w:pPr>
        <w:spacing w:before="60"/>
        <w:ind w:firstLine="567"/>
        <w:jc w:val="both"/>
        <w:rPr>
          <w:spacing w:val="-2"/>
        </w:rPr>
      </w:pPr>
      <w:r w:rsidRPr="00AC466B">
        <w:rPr>
          <w:spacing w:val="-2"/>
        </w:rPr>
        <w:t>Решени</w:t>
      </w:r>
      <w:r w:rsidR="00816F79" w:rsidRPr="00AC466B">
        <w:rPr>
          <w:spacing w:val="-2"/>
        </w:rPr>
        <w:t>ями</w:t>
      </w:r>
      <w:r w:rsidR="00360FF5" w:rsidRPr="00AC466B">
        <w:rPr>
          <w:spacing w:val="-2"/>
        </w:rPr>
        <w:t xml:space="preserve"> от </w:t>
      </w:r>
      <w:r w:rsidR="00117380" w:rsidRPr="00AC466B">
        <w:rPr>
          <w:spacing w:val="-2"/>
        </w:rPr>
        <w:t>25</w:t>
      </w:r>
      <w:r w:rsidR="00360FF5" w:rsidRPr="00AC466B">
        <w:rPr>
          <w:spacing w:val="-2"/>
        </w:rPr>
        <w:t>.</w:t>
      </w:r>
      <w:r w:rsidR="00EF2C2C" w:rsidRPr="00AC466B">
        <w:rPr>
          <w:spacing w:val="-2"/>
        </w:rPr>
        <w:t>0</w:t>
      </w:r>
      <w:r w:rsidR="00117380" w:rsidRPr="00AC466B">
        <w:rPr>
          <w:spacing w:val="-2"/>
        </w:rPr>
        <w:t>3</w:t>
      </w:r>
      <w:r w:rsidR="00360FF5" w:rsidRPr="00AC466B">
        <w:rPr>
          <w:spacing w:val="-2"/>
        </w:rPr>
        <w:t>.</w:t>
      </w:r>
      <w:r w:rsidR="003A58A3" w:rsidRPr="00AC466B">
        <w:rPr>
          <w:spacing w:val="-2"/>
        </w:rPr>
        <w:t>2015</w:t>
      </w:r>
      <w:r w:rsidR="00360FF5" w:rsidRPr="00AC466B">
        <w:rPr>
          <w:spacing w:val="-2"/>
        </w:rPr>
        <w:t xml:space="preserve"> № </w:t>
      </w:r>
      <w:r w:rsidR="00117380" w:rsidRPr="00AC466B">
        <w:rPr>
          <w:spacing w:val="-2"/>
        </w:rPr>
        <w:t>214</w:t>
      </w:r>
      <w:r w:rsidR="00360FF5" w:rsidRPr="00AC466B">
        <w:rPr>
          <w:spacing w:val="-2"/>
        </w:rPr>
        <w:t>,</w:t>
      </w:r>
      <w:r w:rsidR="00816F79" w:rsidRPr="00AC466B">
        <w:rPr>
          <w:spacing w:val="-2"/>
        </w:rPr>
        <w:t xml:space="preserve"> </w:t>
      </w:r>
      <w:r w:rsidRPr="00AC466B">
        <w:rPr>
          <w:spacing w:val="-2"/>
        </w:rPr>
        <w:t xml:space="preserve">от </w:t>
      </w:r>
      <w:r w:rsidR="00117380" w:rsidRPr="00AC466B">
        <w:rPr>
          <w:spacing w:val="-2"/>
        </w:rPr>
        <w:t>03</w:t>
      </w:r>
      <w:r w:rsidR="00816F79" w:rsidRPr="00AC466B">
        <w:rPr>
          <w:spacing w:val="-2"/>
        </w:rPr>
        <w:t>.0</w:t>
      </w:r>
      <w:r w:rsidR="00360FF5" w:rsidRPr="00AC466B">
        <w:rPr>
          <w:spacing w:val="-2"/>
        </w:rPr>
        <w:t>6</w:t>
      </w:r>
      <w:r w:rsidRPr="00AC466B">
        <w:rPr>
          <w:spacing w:val="-2"/>
        </w:rPr>
        <w:t>.</w:t>
      </w:r>
      <w:r w:rsidR="003A58A3" w:rsidRPr="00AC466B">
        <w:rPr>
          <w:spacing w:val="-2"/>
        </w:rPr>
        <w:t>2015</w:t>
      </w:r>
      <w:r w:rsidRPr="00AC466B">
        <w:rPr>
          <w:spacing w:val="-2"/>
        </w:rPr>
        <w:t xml:space="preserve"> № </w:t>
      </w:r>
      <w:r w:rsidR="00117380" w:rsidRPr="00AC466B">
        <w:rPr>
          <w:spacing w:val="-2"/>
        </w:rPr>
        <w:t>220</w:t>
      </w:r>
      <w:r w:rsidR="00816F79" w:rsidRPr="00AC466B">
        <w:rPr>
          <w:spacing w:val="-2"/>
        </w:rPr>
        <w:t xml:space="preserve">, </w:t>
      </w:r>
      <w:r w:rsidR="00117380" w:rsidRPr="00AC466B">
        <w:rPr>
          <w:spacing w:val="-2"/>
        </w:rPr>
        <w:t xml:space="preserve">от 14.08.2015 № 227, </w:t>
      </w:r>
      <w:r w:rsidR="00AC466B" w:rsidRPr="00AC466B">
        <w:rPr>
          <w:spacing w:val="-2"/>
        </w:rPr>
        <w:t xml:space="preserve">от 07.10.2015 № 8, </w:t>
      </w:r>
      <w:r w:rsidR="00EF2C2C" w:rsidRPr="00AC466B">
        <w:rPr>
          <w:spacing w:val="-2"/>
        </w:rPr>
        <w:t xml:space="preserve">от </w:t>
      </w:r>
      <w:r w:rsidR="00AC466B" w:rsidRPr="00AC466B">
        <w:rPr>
          <w:spacing w:val="-2"/>
        </w:rPr>
        <w:t>09</w:t>
      </w:r>
      <w:r w:rsidR="00EF2C2C" w:rsidRPr="00AC466B">
        <w:rPr>
          <w:spacing w:val="-2"/>
        </w:rPr>
        <w:t>.1</w:t>
      </w:r>
      <w:r w:rsidR="00AC466B" w:rsidRPr="00AC466B">
        <w:rPr>
          <w:spacing w:val="-2"/>
        </w:rPr>
        <w:t>2</w:t>
      </w:r>
      <w:r w:rsidR="00EF2C2C" w:rsidRPr="00AC466B">
        <w:rPr>
          <w:spacing w:val="-2"/>
        </w:rPr>
        <w:t>.</w:t>
      </w:r>
      <w:r w:rsidR="003A58A3" w:rsidRPr="00AC466B">
        <w:rPr>
          <w:spacing w:val="-2"/>
        </w:rPr>
        <w:t>2015</w:t>
      </w:r>
      <w:r w:rsidR="00EF2C2C" w:rsidRPr="00AC466B">
        <w:rPr>
          <w:spacing w:val="-2"/>
        </w:rPr>
        <w:t xml:space="preserve"> № </w:t>
      </w:r>
      <w:r w:rsidR="00AC466B" w:rsidRPr="00AC466B">
        <w:rPr>
          <w:spacing w:val="-2"/>
        </w:rPr>
        <w:t>17</w:t>
      </w:r>
      <w:r w:rsidR="00EF2C2C" w:rsidRPr="00AC466B">
        <w:rPr>
          <w:spacing w:val="-2"/>
        </w:rPr>
        <w:t xml:space="preserve">, </w:t>
      </w:r>
      <w:r w:rsidR="00816F79" w:rsidRPr="00AC466B">
        <w:rPr>
          <w:spacing w:val="-2"/>
        </w:rPr>
        <w:t xml:space="preserve">от </w:t>
      </w:r>
      <w:r w:rsidR="00EF2C2C" w:rsidRPr="00AC466B">
        <w:rPr>
          <w:spacing w:val="-2"/>
        </w:rPr>
        <w:t>23</w:t>
      </w:r>
      <w:r w:rsidR="00D56531" w:rsidRPr="00AC466B">
        <w:rPr>
          <w:spacing w:val="-2"/>
        </w:rPr>
        <w:t>.1</w:t>
      </w:r>
      <w:r w:rsidR="00360FF5" w:rsidRPr="00AC466B">
        <w:rPr>
          <w:spacing w:val="-2"/>
        </w:rPr>
        <w:t>2</w:t>
      </w:r>
      <w:r w:rsidR="00816F79" w:rsidRPr="00AC466B">
        <w:rPr>
          <w:spacing w:val="-2"/>
        </w:rPr>
        <w:t>.</w:t>
      </w:r>
      <w:r w:rsidR="003A58A3" w:rsidRPr="00AC466B">
        <w:rPr>
          <w:spacing w:val="-2"/>
        </w:rPr>
        <w:t>2015</w:t>
      </w:r>
      <w:r w:rsidR="00816F79" w:rsidRPr="00AC466B">
        <w:rPr>
          <w:spacing w:val="-2"/>
        </w:rPr>
        <w:t xml:space="preserve"> № </w:t>
      </w:r>
      <w:r w:rsidR="00AC466B" w:rsidRPr="00AC466B">
        <w:rPr>
          <w:spacing w:val="-2"/>
        </w:rPr>
        <w:t>20</w:t>
      </w:r>
      <w:r w:rsidR="00552AD8" w:rsidRPr="00AC466B">
        <w:rPr>
          <w:spacing w:val="-2"/>
        </w:rPr>
        <w:t xml:space="preserve"> </w:t>
      </w:r>
      <w:r w:rsidRPr="00AC466B">
        <w:rPr>
          <w:spacing w:val="-2"/>
        </w:rPr>
        <w:t>были в</w:t>
      </w:r>
      <w:r w:rsidR="003D2EF7" w:rsidRPr="00AC466B">
        <w:rPr>
          <w:spacing w:val="-2"/>
        </w:rPr>
        <w:t>несен</w:t>
      </w:r>
      <w:r w:rsidRPr="00AC466B">
        <w:rPr>
          <w:spacing w:val="-2"/>
        </w:rPr>
        <w:t>ы</w:t>
      </w:r>
      <w:r w:rsidR="003D2EF7" w:rsidRPr="00AC466B">
        <w:rPr>
          <w:spacing w:val="-2"/>
        </w:rPr>
        <w:t xml:space="preserve"> изменени</w:t>
      </w:r>
      <w:r w:rsidRPr="00AC466B">
        <w:rPr>
          <w:spacing w:val="-2"/>
        </w:rPr>
        <w:t>я</w:t>
      </w:r>
      <w:r w:rsidR="003D2EF7" w:rsidRPr="00AC466B">
        <w:rPr>
          <w:spacing w:val="-2"/>
        </w:rPr>
        <w:t xml:space="preserve"> в </w:t>
      </w:r>
      <w:r w:rsidR="00551071" w:rsidRPr="00AC466B">
        <w:rPr>
          <w:spacing w:val="-2"/>
        </w:rPr>
        <w:t>плановые назначения по доходам</w:t>
      </w:r>
      <w:r w:rsidR="00237429" w:rsidRPr="00AC466B">
        <w:rPr>
          <w:spacing w:val="-2"/>
        </w:rPr>
        <w:t>. Однако в текстовой части всех решений о внесении изменений в бюджет не ук</w:t>
      </w:r>
      <w:r w:rsidR="00237429" w:rsidRPr="00AC466B">
        <w:rPr>
          <w:spacing w:val="-2"/>
        </w:rPr>
        <w:t>а</w:t>
      </w:r>
      <w:r w:rsidR="00237429" w:rsidRPr="00AC466B">
        <w:rPr>
          <w:spacing w:val="-2"/>
        </w:rPr>
        <w:t xml:space="preserve">зан общий объём доходов. </w:t>
      </w:r>
      <w:r w:rsidR="00237429" w:rsidRPr="00AC466B">
        <w:rPr>
          <w:b/>
          <w:spacing w:val="-2"/>
        </w:rPr>
        <w:t>Тем самым нарушен пункт 1 статьи 184.1 БК РФ:</w:t>
      </w:r>
    </w:p>
    <w:p w:rsidR="00237429" w:rsidRPr="00106352" w:rsidRDefault="00237429" w:rsidP="00237429">
      <w:pPr>
        <w:autoSpaceDE w:val="0"/>
        <w:autoSpaceDN w:val="0"/>
        <w:adjustRightInd w:val="0"/>
        <w:spacing w:before="40"/>
        <w:ind w:firstLine="567"/>
        <w:jc w:val="both"/>
        <w:rPr>
          <w:i/>
          <w:sz w:val="20"/>
          <w:szCs w:val="20"/>
        </w:rPr>
      </w:pPr>
      <w:r w:rsidRPr="005F0964">
        <w:rPr>
          <w:i/>
          <w:sz w:val="20"/>
          <w:szCs w:val="20"/>
        </w:rPr>
        <w:t>«В законе (решении) о бюджете должны содержаться основные характеристики бюджета, к кот</w:t>
      </w:r>
      <w:r w:rsidRPr="005F0964">
        <w:rPr>
          <w:i/>
          <w:sz w:val="20"/>
          <w:szCs w:val="20"/>
        </w:rPr>
        <w:t>о</w:t>
      </w:r>
      <w:r w:rsidRPr="005F0964">
        <w:rPr>
          <w:i/>
          <w:sz w:val="20"/>
          <w:szCs w:val="20"/>
        </w:rPr>
        <w:t>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FB3B4C" w:rsidRDefault="00FB3B4C" w:rsidP="004E327D">
      <w:pPr>
        <w:spacing w:before="60"/>
        <w:ind w:firstLine="567"/>
        <w:jc w:val="both"/>
      </w:pPr>
      <w:r w:rsidRPr="00394828">
        <w:rPr>
          <w:b/>
          <w:i/>
        </w:rPr>
        <w:t>На данн</w:t>
      </w:r>
      <w:r>
        <w:rPr>
          <w:b/>
          <w:i/>
        </w:rPr>
        <w:t>ое нарушение</w:t>
      </w:r>
      <w:r w:rsidR="00AC466B">
        <w:rPr>
          <w:b/>
          <w:i/>
        </w:rPr>
        <w:t xml:space="preserve"> было указано в</w:t>
      </w:r>
      <w:r w:rsidR="00AC466B" w:rsidRPr="00477B71">
        <w:rPr>
          <w:b/>
          <w:i/>
        </w:rPr>
        <w:t xml:space="preserve"> экспертных заключениях по результатам внешней проверки годовых отчётов об исполнении бюджета за 2013, 2014 годы</w:t>
      </w:r>
      <w:r w:rsidRPr="00394828">
        <w:rPr>
          <w:b/>
          <w:i/>
        </w:rPr>
        <w:t>.</w:t>
      </w:r>
    </w:p>
    <w:p w:rsidR="004D35A4" w:rsidRDefault="00EF2C2C" w:rsidP="004E327D">
      <w:pPr>
        <w:autoSpaceDE w:val="0"/>
        <w:autoSpaceDN w:val="0"/>
        <w:adjustRightInd w:val="0"/>
        <w:spacing w:before="60"/>
        <w:ind w:firstLine="540"/>
        <w:jc w:val="both"/>
        <w:outlineLvl w:val="0"/>
        <w:rPr>
          <w:spacing w:val="-4"/>
        </w:rPr>
      </w:pPr>
      <w:r w:rsidRPr="00EF2C2C">
        <w:rPr>
          <w:spacing w:val="-4"/>
        </w:rPr>
        <w:t xml:space="preserve">По итогам всех внесённых изменений уточнённый объём доходов составляет </w:t>
      </w:r>
      <w:r w:rsidR="00AC466B">
        <w:rPr>
          <w:spacing w:val="-4"/>
        </w:rPr>
        <w:t>21715,1</w:t>
      </w:r>
      <w:r w:rsidRPr="00EF2C2C">
        <w:rPr>
          <w:spacing w:val="-4"/>
        </w:rPr>
        <w:t xml:space="preserve"> тыс. руб. В отчёте об исполнении местного бюджета за </w:t>
      </w:r>
      <w:r w:rsidR="003A58A3">
        <w:rPr>
          <w:spacing w:val="-4"/>
        </w:rPr>
        <w:t>2015</w:t>
      </w:r>
      <w:r w:rsidRPr="00EF2C2C">
        <w:rPr>
          <w:spacing w:val="-4"/>
        </w:rPr>
        <w:t xml:space="preserve"> год плановый показатель по доходам составляет </w:t>
      </w:r>
      <w:r w:rsidR="00AC466B">
        <w:rPr>
          <w:spacing w:val="-4"/>
        </w:rPr>
        <w:t>21715,1</w:t>
      </w:r>
      <w:r w:rsidR="00AC466B" w:rsidRPr="00EF2C2C">
        <w:rPr>
          <w:spacing w:val="-4"/>
        </w:rPr>
        <w:t xml:space="preserve"> </w:t>
      </w:r>
      <w:r w:rsidRPr="00EF2C2C">
        <w:rPr>
          <w:spacing w:val="-4"/>
        </w:rPr>
        <w:t>тыс. руб. Несоответствия нет, тем самым выполняется статья 32 БК РФ</w:t>
      </w:r>
      <w:r w:rsidR="003B7122">
        <w:rPr>
          <w:spacing w:val="-4"/>
        </w:rPr>
        <w:t>:</w:t>
      </w:r>
    </w:p>
    <w:p w:rsidR="003B7122" w:rsidRPr="001B728A" w:rsidRDefault="003B7122" w:rsidP="003B7122">
      <w:pPr>
        <w:autoSpaceDE w:val="0"/>
        <w:autoSpaceDN w:val="0"/>
        <w:adjustRightInd w:val="0"/>
        <w:spacing w:before="40"/>
        <w:ind w:firstLine="540"/>
        <w:jc w:val="both"/>
        <w:outlineLvl w:val="0"/>
        <w:rPr>
          <w:i/>
          <w:sz w:val="20"/>
          <w:szCs w:val="20"/>
        </w:rPr>
      </w:pPr>
      <w:r w:rsidRPr="001B728A">
        <w:rPr>
          <w:i/>
          <w:sz w:val="20"/>
          <w:szCs w:val="20"/>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w:t>
      </w:r>
      <w:r w:rsidRPr="001B728A">
        <w:rPr>
          <w:i/>
          <w:sz w:val="20"/>
          <w:szCs w:val="20"/>
        </w:rPr>
        <w:t>о</w:t>
      </w:r>
      <w:r w:rsidRPr="001B728A">
        <w:rPr>
          <w:i/>
          <w:sz w:val="20"/>
          <w:szCs w:val="20"/>
        </w:rPr>
        <w:t>рядке и в полном объеме отражаются в соответствующих бюджетах».</w:t>
      </w:r>
    </w:p>
    <w:p w:rsidR="00B80AA4" w:rsidRPr="0029403D" w:rsidRDefault="00B80AA4" w:rsidP="004E327D">
      <w:pPr>
        <w:spacing w:before="60"/>
        <w:ind w:firstLine="567"/>
        <w:jc w:val="both"/>
      </w:pPr>
      <w:r w:rsidRPr="0029403D">
        <w:t xml:space="preserve">Исполнение местного бюджета по доходам за </w:t>
      </w:r>
      <w:r w:rsidR="003A58A3">
        <w:t>2015</w:t>
      </w:r>
      <w:r w:rsidRPr="0029403D">
        <w:t xml:space="preserve"> год составило </w:t>
      </w:r>
      <w:r w:rsidR="00AC466B">
        <w:t>16314,8</w:t>
      </w:r>
      <w:r w:rsidRPr="0029403D">
        <w:t xml:space="preserve"> тыс. </w:t>
      </w:r>
      <w:r w:rsidR="00CA485C" w:rsidRPr="0029403D">
        <w:t>руб.</w:t>
      </w:r>
      <w:r w:rsidRPr="0029403D">
        <w:t xml:space="preserve"> или </w:t>
      </w:r>
      <w:r w:rsidR="00AC466B">
        <w:t>75,1</w:t>
      </w:r>
      <w:r w:rsidRPr="0029403D">
        <w:t>% к плану</w:t>
      </w:r>
      <w:r w:rsidR="00EF2C2C">
        <w:t xml:space="preserve"> </w:t>
      </w:r>
      <w:r w:rsidR="00EF2C2C" w:rsidRPr="0029403D">
        <w:t>(</w:t>
      </w:r>
      <w:r w:rsidR="00EF2C2C">
        <w:t>недоисполнение</w:t>
      </w:r>
      <w:r w:rsidR="00EF2C2C" w:rsidRPr="0029403D">
        <w:t xml:space="preserve"> – </w:t>
      </w:r>
      <w:r w:rsidR="00AC466B">
        <w:t>5400,3</w:t>
      </w:r>
      <w:r w:rsidR="00EF2C2C" w:rsidRPr="0029403D">
        <w:t xml:space="preserve"> тыс. руб.)</w:t>
      </w:r>
      <w:r w:rsidR="00EF2C2C">
        <w:t>.</w:t>
      </w:r>
    </w:p>
    <w:p w:rsidR="00006951" w:rsidRPr="0029403D" w:rsidRDefault="00006951" w:rsidP="004E327D">
      <w:pPr>
        <w:spacing w:before="60"/>
        <w:ind w:firstLine="567"/>
        <w:jc w:val="both"/>
      </w:pPr>
      <w:r w:rsidRPr="0029403D">
        <w:t xml:space="preserve">Из общей суммы доходов налоговые и неналоговые поступления составили </w:t>
      </w:r>
      <w:r w:rsidR="00AC466B">
        <w:t>1695,9</w:t>
      </w:r>
      <w:r w:rsidRPr="0029403D">
        <w:t xml:space="preserve"> тыс. </w:t>
      </w:r>
      <w:r w:rsidR="00CA485C" w:rsidRPr="0029403D">
        <w:t>руб.</w:t>
      </w:r>
      <w:r w:rsidRPr="0029403D">
        <w:t xml:space="preserve"> или </w:t>
      </w:r>
      <w:r w:rsidR="00AC466B">
        <w:t>10,4</w:t>
      </w:r>
      <w:r w:rsidRPr="0029403D">
        <w:t xml:space="preserve">%, безвозмездные поступления – </w:t>
      </w:r>
      <w:r w:rsidR="00AC466B">
        <w:t>14618,9</w:t>
      </w:r>
      <w:r w:rsidRPr="0029403D">
        <w:t> тыс.</w:t>
      </w:r>
      <w:r w:rsidR="00C1658D" w:rsidRPr="0029403D">
        <w:t xml:space="preserve"> </w:t>
      </w:r>
      <w:r w:rsidR="00CA485C" w:rsidRPr="0029403D">
        <w:t>руб.</w:t>
      </w:r>
      <w:r w:rsidRPr="0029403D">
        <w:t xml:space="preserve"> или </w:t>
      </w:r>
      <w:r w:rsidR="00AC466B">
        <w:t>89,6</w:t>
      </w:r>
      <w:r w:rsidRPr="0029403D">
        <w:t>%.</w:t>
      </w:r>
    </w:p>
    <w:p w:rsidR="001328F1" w:rsidRPr="0029403D" w:rsidRDefault="001328F1" w:rsidP="004E327D">
      <w:pPr>
        <w:spacing w:before="60"/>
        <w:ind w:firstLine="567"/>
        <w:jc w:val="both"/>
      </w:pPr>
      <w:r w:rsidRPr="0029403D">
        <w:t xml:space="preserve">По сравнению с предыдущим годом поступления в </w:t>
      </w:r>
      <w:r w:rsidR="003D272D" w:rsidRPr="0029403D">
        <w:t>местный</w:t>
      </w:r>
      <w:r w:rsidRPr="0029403D">
        <w:t xml:space="preserve"> бюджет в целом </w:t>
      </w:r>
      <w:r w:rsidR="00551071">
        <w:t>увелич</w:t>
      </w:r>
      <w:r w:rsidR="00551071">
        <w:t>и</w:t>
      </w:r>
      <w:r w:rsidR="00551071">
        <w:t>лись</w:t>
      </w:r>
      <w:r w:rsidR="00551071" w:rsidRPr="0029403D">
        <w:t xml:space="preserve"> </w:t>
      </w:r>
      <w:r w:rsidRPr="0029403D">
        <w:t xml:space="preserve">на </w:t>
      </w:r>
      <w:r w:rsidR="00AC466B">
        <w:t>728,4</w:t>
      </w:r>
      <w:r w:rsidR="004E64C9" w:rsidRPr="004E64C9">
        <w:t xml:space="preserve"> </w:t>
      </w:r>
      <w:r w:rsidRPr="0029403D">
        <w:t>тыс.</w:t>
      </w:r>
      <w:r w:rsidR="003D272D" w:rsidRPr="0029403D">
        <w:t xml:space="preserve"> </w:t>
      </w:r>
      <w:r w:rsidR="00CA485C" w:rsidRPr="0029403D">
        <w:t>руб.</w:t>
      </w:r>
      <w:r w:rsidRPr="0029403D">
        <w:t xml:space="preserve"> или </w:t>
      </w:r>
      <w:r w:rsidR="00AC466B">
        <w:t>4,7</w:t>
      </w:r>
      <w:r w:rsidRPr="0029403D">
        <w:t xml:space="preserve">%, в том числе </w:t>
      </w:r>
      <w:r w:rsidR="001946F6" w:rsidRPr="0029403D">
        <w:t xml:space="preserve">налоговые и неналоговые поступления </w:t>
      </w:r>
      <w:r w:rsidR="00AC466B">
        <w:t>увел</w:t>
      </w:r>
      <w:r w:rsidR="00AC466B">
        <w:t>и</w:t>
      </w:r>
      <w:r w:rsidR="00AC466B">
        <w:t>чились</w:t>
      </w:r>
      <w:r w:rsidR="00AC466B" w:rsidRPr="0029403D">
        <w:t xml:space="preserve"> </w:t>
      </w:r>
      <w:r w:rsidR="002308B9" w:rsidRPr="0029403D">
        <w:t>на</w:t>
      </w:r>
      <w:r w:rsidR="00D912CC" w:rsidRPr="0029403D">
        <w:t xml:space="preserve"> </w:t>
      </w:r>
      <w:r w:rsidR="00AC466B">
        <w:t>1031,9</w:t>
      </w:r>
      <w:r w:rsidR="001946F6" w:rsidRPr="0029403D">
        <w:t xml:space="preserve"> тыс. </w:t>
      </w:r>
      <w:r w:rsidR="00CA485C" w:rsidRPr="0029403D">
        <w:t>руб.</w:t>
      </w:r>
      <w:r w:rsidR="001946F6" w:rsidRPr="0029403D">
        <w:t xml:space="preserve"> или</w:t>
      </w:r>
      <w:r w:rsidR="009618A0">
        <w:t xml:space="preserve"> на</w:t>
      </w:r>
      <w:r w:rsidR="001946F6" w:rsidRPr="0029403D">
        <w:t xml:space="preserve"> </w:t>
      </w:r>
      <w:r w:rsidR="00AC466B">
        <w:t>155,4</w:t>
      </w:r>
      <w:r w:rsidR="001946F6" w:rsidRPr="0029403D">
        <w:t>%, безвозмездные</w:t>
      </w:r>
      <w:r w:rsidR="002308B9" w:rsidRPr="0029403D">
        <w:t xml:space="preserve"> поступления</w:t>
      </w:r>
      <w:r w:rsidR="001946F6" w:rsidRPr="0029403D">
        <w:t xml:space="preserve"> </w:t>
      </w:r>
      <w:r w:rsidR="00AC466B">
        <w:t>снизились</w:t>
      </w:r>
      <w:r w:rsidR="00AC466B" w:rsidRPr="0029403D">
        <w:t xml:space="preserve"> </w:t>
      </w:r>
      <w:r w:rsidR="002308B9" w:rsidRPr="0029403D">
        <w:t xml:space="preserve">на </w:t>
      </w:r>
      <w:r w:rsidR="00AC466B">
        <w:t>303,5</w:t>
      </w:r>
      <w:r w:rsidR="009618A0">
        <w:t xml:space="preserve"> </w:t>
      </w:r>
      <w:r w:rsidR="002308B9" w:rsidRPr="0029403D">
        <w:t xml:space="preserve">тыс. </w:t>
      </w:r>
      <w:r w:rsidR="00CA485C" w:rsidRPr="0029403D">
        <w:t>руб.</w:t>
      </w:r>
      <w:r w:rsidR="002308B9" w:rsidRPr="0029403D">
        <w:t xml:space="preserve"> или </w:t>
      </w:r>
      <w:r w:rsidR="00AC466B">
        <w:t>2,0</w:t>
      </w:r>
      <w:r w:rsidR="002308B9" w:rsidRPr="0029403D">
        <w:t>%</w:t>
      </w:r>
      <w:r w:rsidRPr="0029403D">
        <w:t>.</w:t>
      </w:r>
      <w:r w:rsidR="003C2211">
        <w:t xml:space="preserve"> </w:t>
      </w:r>
    </w:p>
    <w:p w:rsidR="005E15EC" w:rsidRPr="0029403D" w:rsidRDefault="005E15EC" w:rsidP="005E15EC">
      <w:pPr>
        <w:spacing w:before="120"/>
        <w:ind w:firstLine="567"/>
        <w:jc w:val="both"/>
      </w:pPr>
      <w:r w:rsidRPr="00E56C9E">
        <w:rPr>
          <w:b/>
          <w:bCs/>
          <w:iCs/>
        </w:rPr>
        <w:t>Налоговые доходы</w:t>
      </w:r>
      <w:r w:rsidRPr="00E56C9E">
        <w:rPr>
          <w:bCs/>
          <w:iCs/>
        </w:rPr>
        <w:t xml:space="preserve"> местного бюджета </w:t>
      </w:r>
      <w:r w:rsidR="008608CA" w:rsidRPr="00E56C9E">
        <w:rPr>
          <w:bCs/>
          <w:iCs/>
        </w:rPr>
        <w:t>з</w:t>
      </w:r>
      <w:r w:rsidRPr="00E56C9E">
        <w:rPr>
          <w:bCs/>
          <w:iCs/>
        </w:rPr>
        <w:t xml:space="preserve">а </w:t>
      </w:r>
      <w:r w:rsidR="003A58A3">
        <w:rPr>
          <w:bCs/>
          <w:iCs/>
        </w:rPr>
        <w:t>2015</w:t>
      </w:r>
      <w:r w:rsidRPr="00E56C9E">
        <w:rPr>
          <w:bCs/>
          <w:iCs/>
        </w:rPr>
        <w:t xml:space="preserve"> год </w:t>
      </w:r>
      <w:r w:rsidR="008608CA" w:rsidRPr="00E56C9E">
        <w:rPr>
          <w:bCs/>
          <w:iCs/>
        </w:rPr>
        <w:t>исполнены</w:t>
      </w:r>
      <w:r w:rsidRPr="00E56C9E">
        <w:rPr>
          <w:bCs/>
          <w:iCs/>
        </w:rPr>
        <w:t xml:space="preserve"> в объеме </w:t>
      </w:r>
      <w:r w:rsidR="00AC466B">
        <w:rPr>
          <w:bCs/>
          <w:iCs/>
        </w:rPr>
        <w:t>1689,4</w:t>
      </w:r>
      <w:r w:rsidRPr="00E56C9E">
        <w:rPr>
          <w:bCs/>
          <w:iCs/>
        </w:rPr>
        <w:t xml:space="preserve"> тыс. руб. </w:t>
      </w:r>
      <w:r w:rsidR="00356683" w:rsidRPr="00E56C9E">
        <w:rPr>
          <w:bCs/>
          <w:iCs/>
        </w:rPr>
        <w:t xml:space="preserve">или </w:t>
      </w:r>
      <w:r w:rsidR="00AC466B">
        <w:rPr>
          <w:bCs/>
          <w:iCs/>
        </w:rPr>
        <w:t>105,8</w:t>
      </w:r>
      <w:r w:rsidR="00CB7F16" w:rsidRPr="00E56C9E">
        <w:rPr>
          <w:bCs/>
          <w:iCs/>
        </w:rPr>
        <w:t>% от плановых назначений</w:t>
      </w:r>
      <w:r w:rsidR="00AC466B">
        <w:t>.</w:t>
      </w:r>
    </w:p>
    <w:p w:rsidR="007A39E2" w:rsidRDefault="005E15EC" w:rsidP="006C6C78">
      <w:pPr>
        <w:spacing w:before="60"/>
        <w:ind w:firstLine="567"/>
        <w:jc w:val="both"/>
        <w:rPr>
          <w:sz w:val="22"/>
          <w:szCs w:val="22"/>
        </w:rPr>
      </w:pPr>
      <w:r w:rsidRPr="0029403D">
        <w:t>Подробный анализ поступления налоговых доходов представлен в таблице 1.</w:t>
      </w:r>
      <w:r w:rsidR="006C6C78">
        <w:t xml:space="preserve"> </w:t>
      </w:r>
    </w:p>
    <w:p w:rsidR="004E327D" w:rsidRDefault="004E327D">
      <w:pPr>
        <w:rPr>
          <w:sz w:val="22"/>
          <w:szCs w:val="22"/>
        </w:rPr>
      </w:pPr>
      <w:r>
        <w:rPr>
          <w:sz w:val="22"/>
          <w:szCs w:val="22"/>
        </w:rPr>
        <w:br w:type="page"/>
      </w:r>
    </w:p>
    <w:p w:rsidR="005E15EC" w:rsidRPr="009D4A15" w:rsidRDefault="005E15EC" w:rsidP="00650AFA">
      <w:pPr>
        <w:spacing w:before="120" w:after="120"/>
        <w:jc w:val="center"/>
        <w:rPr>
          <w:sz w:val="22"/>
          <w:szCs w:val="22"/>
        </w:rPr>
      </w:pPr>
      <w:r w:rsidRPr="009D4A15">
        <w:rPr>
          <w:sz w:val="22"/>
          <w:szCs w:val="22"/>
        </w:rPr>
        <w:lastRenderedPageBreak/>
        <w:t xml:space="preserve">Таблица 1. Структура </w:t>
      </w:r>
      <w:r w:rsidR="000A68BE" w:rsidRPr="009D4A15">
        <w:rPr>
          <w:sz w:val="22"/>
          <w:szCs w:val="22"/>
        </w:rPr>
        <w:t xml:space="preserve">и динамика поступления </w:t>
      </w:r>
      <w:r w:rsidRPr="009D4A15">
        <w:rPr>
          <w:sz w:val="22"/>
          <w:szCs w:val="22"/>
        </w:rPr>
        <w:t>налоговых доходов местного бюджета, тыс. руб.</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737"/>
        <w:gridCol w:w="737"/>
        <w:gridCol w:w="850"/>
        <w:gridCol w:w="794"/>
        <w:gridCol w:w="794"/>
        <w:gridCol w:w="794"/>
        <w:gridCol w:w="1417"/>
        <w:gridCol w:w="1418"/>
      </w:tblGrid>
      <w:tr w:rsidR="00BB7E0B" w:rsidRPr="0029403D" w:rsidTr="003A58A3">
        <w:trPr>
          <w:trHeight w:val="528"/>
        </w:trPr>
        <w:tc>
          <w:tcPr>
            <w:tcW w:w="2211" w:type="dxa"/>
            <w:vMerge w:val="restart"/>
            <w:vAlign w:val="center"/>
          </w:tcPr>
          <w:p w:rsidR="00BB7E0B" w:rsidRPr="0029403D" w:rsidRDefault="001D6AAD" w:rsidP="00877B5F">
            <w:pPr>
              <w:rPr>
                <w:i/>
                <w:sz w:val="20"/>
                <w:szCs w:val="20"/>
              </w:rPr>
            </w:pPr>
            <w:r w:rsidRPr="0029403D">
              <w:rPr>
                <w:i/>
                <w:sz w:val="20"/>
                <w:szCs w:val="20"/>
              </w:rPr>
              <w:t>Наименования дохода</w:t>
            </w:r>
          </w:p>
        </w:tc>
        <w:tc>
          <w:tcPr>
            <w:tcW w:w="2324" w:type="dxa"/>
            <w:gridSpan w:val="3"/>
            <w:vAlign w:val="center"/>
          </w:tcPr>
          <w:p w:rsidR="00BB7E0B" w:rsidRPr="0029403D" w:rsidRDefault="00BB7E0B" w:rsidP="00BB7E0B">
            <w:pPr>
              <w:jc w:val="center"/>
              <w:rPr>
                <w:i/>
                <w:sz w:val="20"/>
                <w:szCs w:val="20"/>
              </w:rPr>
            </w:pPr>
            <w:r w:rsidRPr="0029403D">
              <w:rPr>
                <w:i/>
                <w:sz w:val="20"/>
                <w:szCs w:val="20"/>
              </w:rPr>
              <w:t>Исполнение бюджета</w:t>
            </w:r>
          </w:p>
        </w:tc>
        <w:tc>
          <w:tcPr>
            <w:tcW w:w="2382" w:type="dxa"/>
            <w:gridSpan w:val="3"/>
          </w:tcPr>
          <w:p w:rsidR="00BB7E0B" w:rsidRPr="0029403D" w:rsidRDefault="00BB7E0B" w:rsidP="001D6AAD">
            <w:pPr>
              <w:spacing w:before="40"/>
              <w:jc w:val="center"/>
              <w:rPr>
                <w:i/>
                <w:sz w:val="20"/>
                <w:szCs w:val="20"/>
              </w:rPr>
            </w:pPr>
            <w:r w:rsidRPr="0029403D">
              <w:rPr>
                <w:i/>
                <w:sz w:val="20"/>
                <w:szCs w:val="20"/>
              </w:rPr>
              <w:t>Доля в общем объёме налоговых доходов</w:t>
            </w:r>
          </w:p>
        </w:tc>
        <w:tc>
          <w:tcPr>
            <w:tcW w:w="2835" w:type="dxa"/>
            <w:gridSpan w:val="2"/>
            <w:vAlign w:val="center"/>
          </w:tcPr>
          <w:p w:rsidR="00BB7E0B" w:rsidRPr="0029403D" w:rsidRDefault="00BB7E0B" w:rsidP="005E4A26">
            <w:pPr>
              <w:jc w:val="center"/>
              <w:rPr>
                <w:i/>
                <w:sz w:val="20"/>
                <w:szCs w:val="20"/>
              </w:rPr>
            </w:pPr>
            <w:r w:rsidRPr="0029403D">
              <w:rPr>
                <w:i/>
                <w:sz w:val="20"/>
                <w:szCs w:val="20"/>
              </w:rPr>
              <w:t>Абсолютный прирост (тыс. руб./</w:t>
            </w:r>
            <w:r w:rsidR="001D6AAD" w:rsidRPr="0029403D">
              <w:rPr>
                <w:i/>
                <w:sz w:val="20"/>
                <w:szCs w:val="20"/>
              </w:rPr>
              <w:t>проценты</w:t>
            </w:r>
            <w:r w:rsidRPr="0029403D">
              <w:rPr>
                <w:i/>
                <w:sz w:val="20"/>
                <w:szCs w:val="20"/>
              </w:rPr>
              <w:t>)</w:t>
            </w:r>
          </w:p>
        </w:tc>
      </w:tr>
      <w:tr w:rsidR="00BB7E0B" w:rsidRPr="0029403D" w:rsidTr="003A58A3">
        <w:trPr>
          <w:trHeight w:val="217"/>
        </w:trPr>
        <w:tc>
          <w:tcPr>
            <w:tcW w:w="2211" w:type="dxa"/>
            <w:vMerge/>
            <w:vAlign w:val="center"/>
          </w:tcPr>
          <w:p w:rsidR="00BB7E0B" w:rsidRPr="0029403D" w:rsidRDefault="00BB7E0B" w:rsidP="00877B5F">
            <w:pPr>
              <w:rPr>
                <w:i/>
                <w:sz w:val="20"/>
                <w:szCs w:val="20"/>
              </w:rPr>
            </w:pPr>
          </w:p>
        </w:tc>
        <w:tc>
          <w:tcPr>
            <w:tcW w:w="737" w:type="dxa"/>
            <w:vAlign w:val="center"/>
          </w:tcPr>
          <w:p w:rsidR="00BB7E0B" w:rsidRPr="0029403D" w:rsidRDefault="003A58A3" w:rsidP="00552CD9">
            <w:pPr>
              <w:spacing w:before="40" w:after="40"/>
              <w:jc w:val="center"/>
              <w:rPr>
                <w:i/>
                <w:sz w:val="20"/>
                <w:szCs w:val="20"/>
              </w:rPr>
            </w:pPr>
            <w:r>
              <w:rPr>
                <w:i/>
                <w:sz w:val="20"/>
                <w:szCs w:val="20"/>
              </w:rPr>
              <w:t>2013</w:t>
            </w:r>
          </w:p>
        </w:tc>
        <w:tc>
          <w:tcPr>
            <w:tcW w:w="737" w:type="dxa"/>
            <w:vAlign w:val="center"/>
          </w:tcPr>
          <w:p w:rsidR="00BB7E0B" w:rsidRPr="0029403D" w:rsidRDefault="003A58A3" w:rsidP="00552CD9">
            <w:pPr>
              <w:spacing w:before="40" w:after="40"/>
              <w:jc w:val="center"/>
              <w:rPr>
                <w:i/>
                <w:sz w:val="20"/>
                <w:szCs w:val="20"/>
              </w:rPr>
            </w:pPr>
            <w:r>
              <w:rPr>
                <w:i/>
                <w:sz w:val="20"/>
                <w:szCs w:val="20"/>
              </w:rPr>
              <w:t>2014</w:t>
            </w:r>
          </w:p>
        </w:tc>
        <w:tc>
          <w:tcPr>
            <w:tcW w:w="850" w:type="dxa"/>
            <w:vAlign w:val="center"/>
          </w:tcPr>
          <w:p w:rsidR="00BB7E0B" w:rsidRPr="0029403D" w:rsidRDefault="003A58A3" w:rsidP="00552CD9">
            <w:pPr>
              <w:spacing w:before="40" w:after="40"/>
              <w:jc w:val="center"/>
              <w:rPr>
                <w:i/>
                <w:sz w:val="20"/>
                <w:szCs w:val="20"/>
              </w:rPr>
            </w:pPr>
            <w:r>
              <w:rPr>
                <w:i/>
                <w:sz w:val="20"/>
                <w:szCs w:val="20"/>
              </w:rPr>
              <w:t>2015</w:t>
            </w:r>
          </w:p>
        </w:tc>
        <w:tc>
          <w:tcPr>
            <w:tcW w:w="794" w:type="dxa"/>
            <w:vAlign w:val="center"/>
          </w:tcPr>
          <w:p w:rsidR="00BB7E0B" w:rsidRPr="0029403D" w:rsidRDefault="003A58A3" w:rsidP="00552CD9">
            <w:pPr>
              <w:spacing w:before="40" w:after="40"/>
              <w:jc w:val="center"/>
              <w:rPr>
                <w:i/>
                <w:sz w:val="20"/>
                <w:szCs w:val="20"/>
              </w:rPr>
            </w:pPr>
            <w:r>
              <w:rPr>
                <w:i/>
                <w:sz w:val="20"/>
                <w:szCs w:val="20"/>
              </w:rPr>
              <w:t>2013</w:t>
            </w:r>
          </w:p>
        </w:tc>
        <w:tc>
          <w:tcPr>
            <w:tcW w:w="794" w:type="dxa"/>
            <w:vAlign w:val="center"/>
          </w:tcPr>
          <w:p w:rsidR="00BB7E0B" w:rsidRPr="0029403D" w:rsidRDefault="003A58A3" w:rsidP="00552CD9">
            <w:pPr>
              <w:spacing w:before="40" w:after="40"/>
              <w:jc w:val="center"/>
              <w:rPr>
                <w:i/>
                <w:sz w:val="20"/>
                <w:szCs w:val="20"/>
              </w:rPr>
            </w:pPr>
            <w:r>
              <w:rPr>
                <w:i/>
                <w:sz w:val="20"/>
                <w:szCs w:val="20"/>
              </w:rPr>
              <w:t>2014</w:t>
            </w:r>
          </w:p>
        </w:tc>
        <w:tc>
          <w:tcPr>
            <w:tcW w:w="794" w:type="dxa"/>
            <w:vAlign w:val="center"/>
          </w:tcPr>
          <w:p w:rsidR="00BB7E0B" w:rsidRPr="0029403D" w:rsidRDefault="003A58A3" w:rsidP="00552CD9">
            <w:pPr>
              <w:spacing w:before="40" w:after="40"/>
              <w:jc w:val="center"/>
              <w:rPr>
                <w:i/>
                <w:sz w:val="20"/>
                <w:szCs w:val="20"/>
              </w:rPr>
            </w:pPr>
            <w:r>
              <w:rPr>
                <w:i/>
                <w:sz w:val="20"/>
                <w:szCs w:val="20"/>
              </w:rPr>
              <w:t>2015</w:t>
            </w:r>
          </w:p>
        </w:tc>
        <w:tc>
          <w:tcPr>
            <w:tcW w:w="1417" w:type="dxa"/>
            <w:vAlign w:val="center"/>
          </w:tcPr>
          <w:p w:rsidR="00BB7E0B" w:rsidRPr="0029403D" w:rsidRDefault="003A58A3" w:rsidP="00552CD9">
            <w:pPr>
              <w:spacing w:before="40" w:after="40"/>
              <w:jc w:val="center"/>
              <w:rPr>
                <w:i/>
                <w:sz w:val="20"/>
                <w:szCs w:val="20"/>
              </w:rPr>
            </w:pPr>
            <w:r>
              <w:rPr>
                <w:i/>
                <w:sz w:val="20"/>
                <w:szCs w:val="20"/>
              </w:rPr>
              <w:t>2014</w:t>
            </w:r>
            <w:r w:rsidR="005E4A26">
              <w:rPr>
                <w:i/>
                <w:sz w:val="20"/>
                <w:szCs w:val="20"/>
              </w:rPr>
              <w:t xml:space="preserve"> к </w:t>
            </w:r>
            <w:r>
              <w:rPr>
                <w:i/>
                <w:sz w:val="20"/>
                <w:szCs w:val="20"/>
              </w:rPr>
              <w:t>2013</w:t>
            </w:r>
          </w:p>
        </w:tc>
        <w:tc>
          <w:tcPr>
            <w:tcW w:w="1418" w:type="dxa"/>
            <w:vAlign w:val="center"/>
          </w:tcPr>
          <w:p w:rsidR="00BB7E0B" w:rsidRPr="0029403D" w:rsidRDefault="003A58A3" w:rsidP="00552CD9">
            <w:pPr>
              <w:spacing w:before="40" w:after="40"/>
              <w:jc w:val="center"/>
              <w:rPr>
                <w:i/>
                <w:sz w:val="20"/>
                <w:szCs w:val="20"/>
              </w:rPr>
            </w:pPr>
            <w:r>
              <w:rPr>
                <w:i/>
                <w:sz w:val="20"/>
                <w:szCs w:val="20"/>
              </w:rPr>
              <w:t>2015</w:t>
            </w:r>
            <w:r w:rsidR="005E4A26">
              <w:rPr>
                <w:i/>
                <w:sz w:val="20"/>
                <w:szCs w:val="20"/>
              </w:rPr>
              <w:t xml:space="preserve"> к </w:t>
            </w:r>
            <w:r>
              <w:rPr>
                <w:i/>
                <w:sz w:val="20"/>
                <w:szCs w:val="20"/>
              </w:rPr>
              <w:t>2014</w:t>
            </w:r>
          </w:p>
        </w:tc>
      </w:tr>
      <w:tr w:rsidR="003A58A3" w:rsidRPr="0029403D" w:rsidTr="003A58A3">
        <w:trPr>
          <w:trHeight w:val="299"/>
        </w:trPr>
        <w:tc>
          <w:tcPr>
            <w:tcW w:w="2211" w:type="dxa"/>
            <w:vAlign w:val="center"/>
          </w:tcPr>
          <w:p w:rsidR="003A58A3" w:rsidRPr="00037D1B" w:rsidRDefault="003A58A3" w:rsidP="006C6C78">
            <w:pPr>
              <w:spacing w:before="40" w:after="40"/>
              <w:rPr>
                <w:sz w:val="22"/>
                <w:szCs w:val="22"/>
              </w:rPr>
            </w:pPr>
            <w:r w:rsidRPr="00037D1B">
              <w:rPr>
                <w:sz w:val="22"/>
                <w:szCs w:val="22"/>
              </w:rPr>
              <w:t>НДФЛ</w:t>
            </w:r>
          </w:p>
        </w:tc>
        <w:tc>
          <w:tcPr>
            <w:tcW w:w="737" w:type="dxa"/>
            <w:vAlign w:val="center"/>
          </w:tcPr>
          <w:p w:rsidR="003A58A3" w:rsidRPr="00037D1B" w:rsidRDefault="003A58A3" w:rsidP="00334E8D">
            <w:pPr>
              <w:spacing w:before="40" w:after="40"/>
              <w:jc w:val="center"/>
              <w:rPr>
                <w:sz w:val="22"/>
                <w:szCs w:val="22"/>
              </w:rPr>
            </w:pPr>
            <w:r>
              <w:rPr>
                <w:sz w:val="22"/>
                <w:szCs w:val="22"/>
              </w:rPr>
              <w:t>299,8</w:t>
            </w:r>
          </w:p>
        </w:tc>
        <w:tc>
          <w:tcPr>
            <w:tcW w:w="737" w:type="dxa"/>
            <w:vAlign w:val="center"/>
          </w:tcPr>
          <w:p w:rsidR="003A58A3" w:rsidRPr="00037D1B" w:rsidRDefault="003A58A3" w:rsidP="00334E8D">
            <w:pPr>
              <w:spacing w:before="40" w:after="40"/>
              <w:jc w:val="center"/>
              <w:rPr>
                <w:sz w:val="22"/>
                <w:szCs w:val="22"/>
              </w:rPr>
            </w:pPr>
            <w:r>
              <w:rPr>
                <w:sz w:val="22"/>
                <w:szCs w:val="22"/>
              </w:rPr>
              <w:t>322,9</w:t>
            </w:r>
          </w:p>
        </w:tc>
        <w:tc>
          <w:tcPr>
            <w:tcW w:w="850" w:type="dxa"/>
            <w:vAlign w:val="center"/>
          </w:tcPr>
          <w:p w:rsidR="003A58A3" w:rsidRPr="00037D1B" w:rsidRDefault="003A58A3" w:rsidP="006C6C78">
            <w:pPr>
              <w:spacing w:before="40" w:after="40"/>
              <w:jc w:val="center"/>
              <w:rPr>
                <w:sz w:val="22"/>
                <w:szCs w:val="22"/>
              </w:rPr>
            </w:pPr>
            <w:r>
              <w:rPr>
                <w:sz w:val="22"/>
                <w:szCs w:val="22"/>
              </w:rPr>
              <w:t>355,0</w:t>
            </w:r>
          </w:p>
        </w:tc>
        <w:tc>
          <w:tcPr>
            <w:tcW w:w="794" w:type="dxa"/>
            <w:vAlign w:val="center"/>
          </w:tcPr>
          <w:p w:rsidR="003A58A3" w:rsidRPr="00037D1B" w:rsidRDefault="003A58A3" w:rsidP="00334E8D">
            <w:pPr>
              <w:spacing w:before="40" w:after="40"/>
              <w:jc w:val="center"/>
              <w:rPr>
                <w:sz w:val="22"/>
                <w:szCs w:val="22"/>
              </w:rPr>
            </w:pPr>
            <w:r>
              <w:rPr>
                <w:sz w:val="22"/>
                <w:szCs w:val="22"/>
              </w:rPr>
              <w:t>55,8%</w:t>
            </w:r>
          </w:p>
        </w:tc>
        <w:tc>
          <w:tcPr>
            <w:tcW w:w="794" w:type="dxa"/>
            <w:vAlign w:val="center"/>
          </w:tcPr>
          <w:p w:rsidR="003A58A3" w:rsidRPr="00037D1B" w:rsidRDefault="003A58A3" w:rsidP="00334E8D">
            <w:pPr>
              <w:spacing w:before="40" w:after="40"/>
              <w:jc w:val="center"/>
              <w:rPr>
                <w:sz w:val="22"/>
                <w:szCs w:val="22"/>
              </w:rPr>
            </w:pPr>
            <w:r>
              <w:rPr>
                <w:sz w:val="22"/>
                <w:szCs w:val="22"/>
              </w:rPr>
              <w:t>59,6%</w:t>
            </w:r>
          </w:p>
        </w:tc>
        <w:tc>
          <w:tcPr>
            <w:tcW w:w="794" w:type="dxa"/>
            <w:vAlign w:val="center"/>
          </w:tcPr>
          <w:p w:rsidR="003A58A3" w:rsidRPr="00037D1B" w:rsidRDefault="003A58A3" w:rsidP="006C6C78">
            <w:pPr>
              <w:spacing w:before="40" w:after="40"/>
              <w:jc w:val="center"/>
              <w:rPr>
                <w:sz w:val="22"/>
                <w:szCs w:val="22"/>
              </w:rPr>
            </w:pPr>
            <w:r>
              <w:rPr>
                <w:sz w:val="22"/>
                <w:szCs w:val="22"/>
              </w:rPr>
              <w:t>21,0%</w:t>
            </w:r>
          </w:p>
        </w:tc>
        <w:tc>
          <w:tcPr>
            <w:tcW w:w="1417" w:type="dxa"/>
            <w:vAlign w:val="center"/>
          </w:tcPr>
          <w:p w:rsidR="003A58A3" w:rsidRPr="00292AB1" w:rsidRDefault="003A58A3" w:rsidP="00334E8D">
            <w:pPr>
              <w:spacing w:before="40" w:after="40"/>
              <w:jc w:val="center"/>
              <w:rPr>
                <w:spacing w:val="-2"/>
                <w:sz w:val="21"/>
                <w:szCs w:val="21"/>
              </w:rPr>
            </w:pPr>
            <w:r>
              <w:rPr>
                <w:spacing w:val="-2"/>
                <w:sz w:val="21"/>
                <w:szCs w:val="21"/>
              </w:rPr>
              <w:t>23,1 / 7,7%</w:t>
            </w:r>
          </w:p>
        </w:tc>
        <w:tc>
          <w:tcPr>
            <w:tcW w:w="1418" w:type="dxa"/>
            <w:vAlign w:val="center"/>
          </w:tcPr>
          <w:p w:rsidR="003A58A3" w:rsidRPr="00292AB1" w:rsidRDefault="003A58A3" w:rsidP="003A58A3">
            <w:pPr>
              <w:spacing w:before="40" w:after="40"/>
              <w:jc w:val="center"/>
              <w:rPr>
                <w:spacing w:val="-2"/>
                <w:sz w:val="21"/>
                <w:szCs w:val="21"/>
              </w:rPr>
            </w:pPr>
            <w:r>
              <w:rPr>
                <w:spacing w:val="-2"/>
                <w:sz w:val="21"/>
                <w:szCs w:val="21"/>
              </w:rPr>
              <w:t>32,1 / 9,9%</w:t>
            </w:r>
          </w:p>
        </w:tc>
      </w:tr>
      <w:tr w:rsidR="003A58A3" w:rsidRPr="0029403D" w:rsidTr="003A58A3">
        <w:trPr>
          <w:trHeight w:val="283"/>
        </w:trPr>
        <w:tc>
          <w:tcPr>
            <w:tcW w:w="2211" w:type="dxa"/>
          </w:tcPr>
          <w:p w:rsidR="003A58A3" w:rsidRPr="00037D1B" w:rsidRDefault="003A58A3" w:rsidP="00334E8D">
            <w:pPr>
              <w:spacing w:before="40" w:after="40"/>
              <w:rPr>
                <w:sz w:val="22"/>
                <w:szCs w:val="22"/>
              </w:rPr>
            </w:pPr>
            <w:r>
              <w:rPr>
                <w:sz w:val="22"/>
                <w:szCs w:val="22"/>
              </w:rPr>
              <w:t>Акцизы</w:t>
            </w:r>
          </w:p>
        </w:tc>
        <w:tc>
          <w:tcPr>
            <w:tcW w:w="737" w:type="dxa"/>
            <w:vAlign w:val="center"/>
          </w:tcPr>
          <w:p w:rsidR="003A58A3" w:rsidRPr="00037D1B" w:rsidRDefault="003A58A3" w:rsidP="00334E8D">
            <w:pPr>
              <w:spacing w:before="40" w:after="40"/>
              <w:jc w:val="center"/>
              <w:rPr>
                <w:sz w:val="22"/>
                <w:szCs w:val="22"/>
              </w:rPr>
            </w:pPr>
          </w:p>
        </w:tc>
        <w:tc>
          <w:tcPr>
            <w:tcW w:w="737" w:type="dxa"/>
            <w:vAlign w:val="center"/>
          </w:tcPr>
          <w:p w:rsidR="003A58A3" w:rsidRPr="00037D1B" w:rsidRDefault="003A58A3" w:rsidP="00334E8D">
            <w:pPr>
              <w:spacing w:before="40" w:after="40"/>
              <w:jc w:val="center"/>
              <w:rPr>
                <w:sz w:val="22"/>
                <w:szCs w:val="22"/>
              </w:rPr>
            </w:pPr>
          </w:p>
        </w:tc>
        <w:tc>
          <w:tcPr>
            <w:tcW w:w="850" w:type="dxa"/>
            <w:vAlign w:val="center"/>
          </w:tcPr>
          <w:p w:rsidR="003A58A3" w:rsidRPr="00037D1B" w:rsidRDefault="003A58A3" w:rsidP="00334E8D">
            <w:pPr>
              <w:spacing w:before="40" w:after="40"/>
              <w:jc w:val="center"/>
              <w:rPr>
                <w:sz w:val="22"/>
                <w:szCs w:val="22"/>
              </w:rPr>
            </w:pPr>
            <w:r>
              <w:rPr>
                <w:sz w:val="22"/>
                <w:szCs w:val="22"/>
              </w:rPr>
              <w:t>1123,6</w:t>
            </w:r>
          </w:p>
        </w:tc>
        <w:tc>
          <w:tcPr>
            <w:tcW w:w="794" w:type="dxa"/>
            <w:vAlign w:val="center"/>
          </w:tcPr>
          <w:p w:rsidR="003A58A3" w:rsidRPr="00037D1B" w:rsidRDefault="003A58A3" w:rsidP="00334E8D">
            <w:pPr>
              <w:spacing w:before="40" w:after="40"/>
              <w:jc w:val="center"/>
              <w:rPr>
                <w:sz w:val="22"/>
                <w:szCs w:val="22"/>
              </w:rPr>
            </w:pPr>
          </w:p>
        </w:tc>
        <w:tc>
          <w:tcPr>
            <w:tcW w:w="794" w:type="dxa"/>
            <w:vAlign w:val="center"/>
          </w:tcPr>
          <w:p w:rsidR="003A58A3" w:rsidRPr="00037D1B" w:rsidRDefault="003A58A3" w:rsidP="00334E8D">
            <w:pPr>
              <w:spacing w:before="40" w:after="40"/>
              <w:jc w:val="center"/>
              <w:rPr>
                <w:sz w:val="22"/>
                <w:szCs w:val="22"/>
              </w:rPr>
            </w:pPr>
          </w:p>
        </w:tc>
        <w:tc>
          <w:tcPr>
            <w:tcW w:w="794" w:type="dxa"/>
            <w:vAlign w:val="center"/>
          </w:tcPr>
          <w:p w:rsidR="003A58A3" w:rsidRPr="00037D1B" w:rsidRDefault="003A58A3" w:rsidP="00334E8D">
            <w:pPr>
              <w:spacing w:before="40" w:after="40"/>
              <w:jc w:val="center"/>
              <w:rPr>
                <w:sz w:val="22"/>
                <w:szCs w:val="22"/>
              </w:rPr>
            </w:pPr>
            <w:r>
              <w:rPr>
                <w:sz w:val="22"/>
                <w:szCs w:val="22"/>
              </w:rPr>
              <w:t>66,5%</w:t>
            </w:r>
          </w:p>
        </w:tc>
        <w:tc>
          <w:tcPr>
            <w:tcW w:w="1417" w:type="dxa"/>
            <w:vAlign w:val="center"/>
          </w:tcPr>
          <w:p w:rsidR="003A58A3" w:rsidRPr="00037D1B" w:rsidRDefault="003A58A3" w:rsidP="00334E8D">
            <w:pPr>
              <w:spacing w:before="40" w:after="40"/>
              <w:jc w:val="center"/>
              <w:rPr>
                <w:sz w:val="22"/>
                <w:szCs w:val="22"/>
              </w:rPr>
            </w:pPr>
          </w:p>
        </w:tc>
        <w:tc>
          <w:tcPr>
            <w:tcW w:w="1418" w:type="dxa"/>
            <w:vAlign w:val="center"/>
          </w:tcPr>
          <w:p w:rsidR="003A58A3" w:rsidRPr="00037D1B" w:rsidRDefault="003A58A3" w:rsidP="00334E8D">
            <w:pPr>
              <w:spacing w:before="40" w:after="40"/>
              <w:jc w:val="center"/>
              <w:rPr>
                <w:sz w:val="22"/>
                <w:szCs w:val="22"/>
              </w:rPr>
            </w:pPr>
          </w:p>
        </w:tc>
      </w:tr>
      <w:tr w:rsidR="003A58A3" w:rsidRPr="0029403D" w:rsidTr="003A58A3">
        <w:trPr>
          <w:trHeight w:val="283"/>
        </w:trPr>
        <w:tc>
          <w:tcPr>
            <w:tcW w:w="2211" w:type="dxa"/>
          </w:tcPr>
          <w:p w:rsidR="003A58A3" w:rsidRPr="00037D1B" w:rsidRDefault="003A58A3" w:rsidP="006C6C78">
            <w:pPr>
              <w:spacing w:before="40" w:after="40"/>
              <w:rPr>
                <w:sz w:val="22"/>
                <w:szCs w:val="22"/>
              </w:rPr>
            </w:pPr>
            <w:r w:rsidRPr="00037D1B">
              <w:rPr>
                <w:sz w:val="22"/>
                <w:szCs w:val="22"/>
              </w:rPr>
              <w:t>Единый с/х налог</w:t>
            </w:r>
          </w:p>
        </w:tc>
        <w:tc>
          <w:tcPr>
            <w:tcW w:w="737" w:type="dxa"/>
            <w:vAlign w:val="center"/>
          </w:tcPr>
          <w:p w:rsidR="003A58A3" w:rsidRPr="00037D1B" w:rsidRDefault="003A58A3" w:rsidP="00334E8D">
            <w:pPr>
              <w:spacing w:before="40" w:after="40"/>
              <w:jc w:val="center"/>
              <w:rPr>
                <w:sz w:val="22"/>
                <w:szCs w:val="22"/>
              </w:rPr>
            </w:pPr>
          </w:p>
        </w:tc>
        <w:tc>
          <w:tcPr>
            <w:tcW w:w="737" w:type="dxa"/>
            <w:vAlign w:val="center"/>
          </w:tcPr>
          <w:p w:rsidR="003A58A3" w:rsidRPr="00037D1B" w:rsidRDefault="003A58A3" w:rsidP="00334E8D">
            <w:pPr>
              <w:spacing w:before="40" w:after="40"/>
              <w:jc w:val="center"/>
              <w:rPr>
                <w:sz w:val="22"/>
                <w:szCs w:val="22"/>
              </w:rPr>
            </w:pPr>
            <w:r>
              <w:rPr>
                <w:sz w:val="22"/>
                <w:szCs w:val="22"/>
              </w:rPr>
              <w:t>-0,5</w:t>
            </w:r>
          </w:p>
        </w:tc>
        <w:tc>
          <w:tcPr>
            <w:tcW w:w="850" w:type="dxa"/>
            <w:vAlign w:val="center"/>
          </w:tcPr>
          <w:p w:rsidR="003A58A3" w:rsidRPr="00037D1B" w:rsidRDefault="003A58A3" w:rsidP="006C6C78">
            <w:pPr>
              <w:spacing w:before="40" w:after="40"/>
              <w:jc w:val="center"/>
              <w:rPr>
                <w:sz w:val="22"/>
                <w:szCs w:val="22"/>
              </w:rPr>
            </w:pPr>
            <w:r>
              <w:rPr>
                <w:sz w:val="22"/>
                <w:szCs w:val="22"/>
              </w:rPr>
              <w:t>-0,2</w:t>
            </w:r>
          </w:p>
        </w:tc>
        <w:tc>
          <w:tcPr>
            <w:tcW w:w="794" w:type="dxa"/>
            <w:vAlign w:val="center"/>
          </w:tcPr>
          <w:p w:rsidR="003A58A3" w:rsidRPr="00037D1B" w:rsidRDefault="003A58A3" w:rsidP="00334E8D">
            <w:pPr>
              <w:spacing w:before="40" w:after="40"/>
              <w:jc w:val="center"/>
              <w:rPr>
                <w:sz w:val="22"/>
                <w:szCs w:val="22"/>
              </w:rPr>
            </w:pPr>
          </w:p>
        </w:tc>
        <w:tc>
          <w:tcPr>
            <w:tcW w:w="794" w:type="dxa"/>
            <w:vAlign w:val="center"/>
          </w:tcPr>
          <w:p w:rsidR="003A58A3" w:rsidRPr="00037D1B" w:rsidRDefault="003A58A3" w:rsidP="00334E8D">
            <w:pPr>
              <w:spacing w:before="40" w:after="40"/>
              <w:jc w:val="center"/>
              <w:rPr>
                <w:sz w:val="22"/>
                <w:szCs w:val="22"/>
              </w:rPr>
            </w:pPr>
            <w:r>
              <w:rPr>
                <w:sz w:val="22"/>
                <w:szCs w:val="22"/>
              </w:rPr>
              <w:t>-0,1%</w:t>
            </w:r>
          </w:p>
        </w:tc>
        <w:tc>
          <w:tcPr>
            <w:tcW w:w="794" w:type="dxa"/>
            <w:vAlign w:val="center"/>
          </w:tcPr>
          <w:p w:rsidR="003A58A3" w:rsidRPr="00037D1B" w:rsidRDefault="003A58A3" w:rsidP="006C6C78">
            <w:pPr>
              <w:spacing w:before="40" w:after="40"/>
              <w:jc w:val="center"/>
              <w:rPr>
                <w:sz w:val="22"/>
                <w:szCs w:val="22"/>
              </w:rPr>
            </w:pPr>
            <w:r>
              <w:rPr>
                <w:sz w:val="22"/>
                <w:szCs w:val="22"/>
              </w:rPr>
              <w:t>0,0%</w:t>
            </w:r>
          </w:p>
        </w:tc>
        <w:tc>
          <w:tcPr>
            <w:tcW w:w="1417" w:type="dxa"/>
            <w:vAlign w:val="center"/>
          </w:tcPr>
          <w:p w:rsidR="003A58A3" w:rsidRPr="00037D1B" w:rsidRDefault="003A58A3" w:rsidP="00334E8D">
            <w:pPr>
              <w:spacing w:before="40" w:after="40"/>
              <w:jc w:val="center"/>
              <w:rPr>
                <w:sz w:val="22"/>
                <w:szCs w:val="22"/>
              </w:rPr>
            </w:pPr>
          </w:p>
        </w:tc>
        <w:tc>
          <w:tcPr>
            <w:tcW w:w="1418" w:type="dxa"/>
            <w:vAlign w:val="center"/>
          </w:tcPr>
          <w:p w:rsidR="003A58A3" w:rsidRPr="00037D1B" w:rsidRDefault="003A58A3" w:rsidP="006C6C78">
            <w:pPr>
              <w:spacing w:before="40" w:after="40"/>
              <w:jc w:val="center"/>
              <w:rPr>
                <w:sz w:val="22"/>
                <w:szCs w:val="22"/>
              </w:rPr>
            </w:pPr>
          </w:p>
        </w:tc>
      </w:tr>
      <w:tr w:rsidR="003A58A3" w:rsidRPr="0029403D" w:rsidTr="003A58A3">
        <w:tc>
          <w:tcPr>
            <w:tcW w:w="2211" w:type="dxa"/>
          </w:tcPr>
          <w:p w:rsidR="003A58A3" w:rsidRPr="00037D1B" w:rsidRDefault="003A58A3" w:rsidP="006C6C78">
            <w:pPr>
              <w:rPr>
                <w:sz w:val="22"/>
                <w:szCs w:val="22"/>
              </w:rPr>
            </w:pPr>
            <w:r w:rsidRPr="00037D1B">
              <w:rPr>
                <w:sz w:val="22"/>
                <w:szCs w:val="22"/>
              </w:rPr>
              <w:t>Налог на имущество физических лиц</w:t>
            </w:r>
          </w:p>
        </w:tc>
        <w:tc>
          <w:tcPr>
            <w:tcW w:w="737" w:type="dxa"/>
            <w:vAlign w:val="center"/>
          </w:tcPr>
          <w:p w:rsidR="003A58A3" w:rsidRPr="00037D1B" w:rsidRDefault="003A58A3" w:rsidP="00334E8D">
            <w:pPr>
              <w:jc w:val="center"/>
              <w:rPr>
                <w:sz w:val="22"/>
                <w:szCs w:val="22"/>
              </w:rPr>
            </w:pPr>
            <w:r>
              <w:rPr>
                <w:sz w:val="22"/>
                <w:szCs w:val="22"/>
              </w:rPr>
              <w:t>7,6</w:t>
            </w:r>
          </w:p>
        </w:tc>
        <w:tc>
          <w:tcPr>
            <w:tcW w:w="737" w:type="dxa"/>
            <w:vAlign w:val="center"/>
          </w:tcPr>
          <w:p w:rsidR="003A58A3" w:rsidRPr="00037D1B" w:rsidRDefault="003A58A3" w:rsidP="00334E8D">
            <w:pPr>
              <w:jc w:val="center"/>
              <w:rPr>
                <w:sz w:val="22"/>
                <w:szCs w:val="22"/>
              </w:rPr>
            </w:pPr>
            <w:r>
              <w:rPr>
                <w:sz w:val="22"/>
                <w:szCs w:val="22"/>
              </w:rPr>
              <w:t>16,5</w:t>
            </w:r>
          </w:p>
        </w:tc>
        <w:tc>
          <w:tcPr>
            <w:tcW w:w="850" w:type="dxa"/>
            <w:vAlign w:val="center"/>
          </w:tcPr>
          <w:p w:rsidR="003A58A3" w:rsidRPr="00037D1B" w:rsidRDefault="003A58A3" w:rsidP="006C6C78">
            <w:pPr>
              <w:jc w:val="center"/>
              <w:rPr>
                <w:sz w:val="22"/>
                <w:szCs w:val="22"/>
              </w:rPr>
            </w:pPr>
            <w:r>
              <w:rPr>
                <w:sz w:val="22"/>
                <w:szCs w:val="22"/>
              </w:rPr>
              <w:t>17,3</w:t>
            </w:r>
          </w:p>
        </w:tc>
        <w:tc>
          <w:tcPr>
            <w:tcW w:w="794" w:type="dxa"/>
            <w:vAlign w:val="center"/>
          </w:tcPr>
          <w:p w:rsidR="003A58A3" w:rsidRPr="00037D1B" w:rsidRDefault="003A58A3" w:rsidP="00334E8D">
            <w:pPr>
              <w:jc w:val="center"/>
              <w:rPr>
                <w:sz w:val="22"/>
                <w:szCs w:val="22"/>
              </w:rPr>
            </w:pPr>
            <w:r>
              <w:rPr>
                <w:sz w:val="22"/>
                <w:szCs w:val="22"/>
              </w:rPr>
              <w:t>1,4%</w:t>
            </w:r>
          </w:p>
        </w:tc>
        <w:tc>
          <w:tcPr>
            <w:tcW w:w="794" w:type="dxa"/>
            <w:vAlign w:val="center"/>
          </w:tcPr>
          <w:p w:rsidR="003A58A3" w:rsidRPr="00037D1B" w:rsidRDefault="003A58A3" w:rsidP="00334E8D">
            <w:pPr>
              <w:jc w:val="center"/>
              <w:rPr>
                <w:sz w:val="22"/>
                <w:szCs w:val="22"/>
              </w:rPr>
            </w:pPr>
            <w:r>
              <w:rPr>
                <w:sz w:val="22"/>
                <w:szCs w:val="22"/>
              </w:rPr>
              <w:t>3,0%</w:t>
            </w:r>
          </w:p>
        </w:tc>
        <w:tc>
          <w:tcPr>
            <w:tcW w:w="794" w:type="dxa"/>
            <w:vAlign w:val="center"/>
          </w:tcPr>
          <w:p w:rsidR="003A58A3" w:rsidRPr="00037D1B" w:rsidRDefault="003A58A3" w:rsidP="006C6C78">
            <w:pPr>
              <w:jc w:val="center"/>
              <w:rPr>
                <w:sz w:val="22"/>
                <w:szCs w:val="22"/>
              </w:rPr>
            </w:pPr>
            <w:r>
              <w:rPr>
                <w:sz w:val="22"/>
                <w:szCs w:val="22"/>
              </w:rPr>
              <w:t>1,0%</w:t>
            </w:r>
          </w:p>
        </w:tc>
        <w:tc>
          <w:tcPr>
            <w:tcW w:w="1417" w:type="dxa"/>
            <w:vAlign w:val="center"/>
          </w:tcPr>
          <w:p w:rsidR="003A58A3" w:rsidRPr="00037D1B" w:rsidRDefault="003A58A3" w:rsidP="00334E8D">
            <w:pPr>
              <w:jc w:val="center"/>
              <w:rPr>
                <w:sz w:val="22"/>
                <w:szCs w:val="22"/>
              </w:rPr>
            </w:pPr>
            <w:r>
              <w:rPr>
                <w:sz w:val="22"/>
                <w:szCs w:val="22"/>
              </w:rPr>
              <w:t>8,9 / 117,1%</w:t>
            </w:r>
          </w:p>
        </w:tc>
        <w:tc>
          <w:tcPr>
            <w:tcW w:w="1418" w:type="dxa"/>
            <w:vAlign w:val="center"/>
          </w:tcPr>
          <w:p w:rsidR="003A58A3" w:rsidRPr="00037D1B" w:rsidRDefault="003A58A3" w:rsidP="003A58A3">
            <w:pPr>
              <w:jc w:val="center"/>
              <w:rPr>
                <w:sz w:val="22"/>
                <w:szCs w:val="22"/>
              </w:rPr>
            </w:pPr>
            <w:r>
              <w:rPr>
                <w:sz w:val="22"/>
                <w:szCs w:val="22"/>
              </w:rPr>
              <w:t>0,8 / 4,8%</w:t>
            </w:r>
          </w:p>
        </w:tc>
      </w:tr>
      <w:tr w:rsidR="003A58A3" w:rsidRPr="0029403D" w:rsidTr="003A58A3">
        <w:trPr>
          <w:trHeight w:val="283"/>
        </w:trPr>
        <w:tc>
          <w:tcPr>
            <w:tcW w:w="2211" w:type="dxa"/>
          </w:tcPr>
          <w:p w:rsidR="003A58A3" w:rsidRPr="00037D1B" w:rsidRDefault="003A58A3" w:rsidP="006C6C78">
            <w:pPr>
              <w:spacing w:before="40" w:after="40"/>
              <w:jc w:val="both"/>
              <w:rPr>
                <w:sz w:val="22"/>
                <w:szCs w:val="22"/>
              </w:rPr>
            </w:pPr>
            <w:r w:rsidRPr="00037D1B">
              <w:rPr>
                <w:sz w:val="22"/>
                <w:szCs w:val="22"/>
              </w:rPr>
              <w:t>Земельный налог</w:t>
            </w:r>
          </w:p>
        </w:tc>
        <w:tc>
          <w:tcPr>
            <w:tcW w:w="737" w:type="dxa"/>
            <w:vAlign w:val="center"/>
          </w:tcPr>
          <w:p w:rsidR="003A58A3" w:rsidRPr="00037D1B" w:rsidRDefault="003A58A3" w:rsidP="00334E8D">
            <w:pPr>
              <w:spacing w:before="40" w:after="40"/>
              <w:jc w:val="center"/>
              <w:rPr>
                <w:sz w:val="22"/>
                <w:szCs w:val="22"/>
              </w:rPr>
            </w:pPr>
            <w:r>
              <w:rPr>
                <w:sz w:val="22"/>
                <w:szCs w:val="22"/>
              </w:rPr>
              <w:t>176,6</w:t>
            </w:r>
          </w:p>
        </w:tc>
        <w:tc>
          <w:tcPr>
            <w:tcW w:w="737" w:type="dxa"/>
            <w:vAlign w:val="center"/>
          </w:tcPr>
          <w:p w:rsidR="003A58A3" w:rsidRPr="00037D1B" w:rsidRDefault="003A58A3" w:rsidP="00334E8D">
            <w:pPr>
              <w:spacing w:before="40" w:after="40"/>
              <w:jc w:val="center"/>
              <w:rPr>
                <w:sz w:val="22"/>
                <w:szCs w:val="22"/>
              </w:rPr>
            </w:pPr>
            <w:r>
              <w:rPr>
                <w:sz w:val="22"/>
                <w:szCs w:val="22"/>
              </w:rPr>
              <w:t>198,9</w:t>
            </w:r>
          </w:p>
        </w:tc>
        <w:tc>
          <w:tcPr>
            <w:tcW w:w="850" w:type="dxa"/>
            <w:vAlign w:val="center"/>
          </w:tcPr>
          <w:p w:rsidR="003A58A3" w:rsidRPr="00037D1B" w:rsidRDefault="003A58A3" w:rsidP="006C6C78">
            <w:pPr>
              <w:spacing w:before="40" w:after="40"/>
              <w:jc w:val="center"/>
              <w:rPr>
                <w:sz w:val="22"/>
                <w:szCs w:val="22"/>
              </w:rPr>
            </w:pPr>
            <w:r>
              <w:rPr>
                <w:sz w:val="22"/>
                <w:szCs w:val="22"/>
              </w:rPr>
              <w:t>186,7</w:t>
            </w:r>
          </w:p>
        </w:tc>
        <w:tc>
          <w:tcPr>
            <w:tcW w:w="794" w:type="dxa"/>
            <w:vAlign w:val="center"/>
          </w:tcPr>
          <w:p w:rsidR="003A58A3" w:rsidRPr="00037D1B" w:rsidRDefault="003A58A3" w:rsidP="00334E8D">
            <w:pPr>
              <w:spacing w:before="40" w:after="40"/>
              <w:jc w:val="center"/>
              <w:rPr>
                <w:sz w:val="22"/>
                <w:szCs w:val="22"/>
              </w:rPr>
            </w:pPr>
            <w:r>
              <w:rPr>
                <w:sz w:val="22"/>
                <w:szCs w:val="22"/>
              </w:rPr>
              <w:t>32,9%</w:t>
            </w:r>
          </w:p>
        </w:tc>
        <w:tc>
          <w:tcPr>
            <w:tcW w:w="794" w:type="dxa"/>
            <w:vAlign w:val="center"/>
          </w:tcPr>
          <w:p w:rsidR="003A58A3" w:rsidRPr="00037D1B" w:rsidRDefault="003A58A3" w:rsidP="00334E8D">
            <w:pPr>
              <w:spacing w:before="40" w:after="40"/>
              <w:jc w:val="center"/>
              <w:rPr>
                <w:sz w:val="22"/>
                <w:szCs w:val="22"/>
              </w:rPr>
            </w:pPr>
            <w:r>
              <w:rPr>
                <w:sz w:val="22"/>
                <w:szCs w:val="22"/>
              </w:rPr>
              <w:t>36,7%</w:t>
            </w:r>
          </w:p>
        </w:tc>
        <w:tc>
          <w:tcPr>
            <w:tcW w:w="794" w:type="dxa"/>
            <w:vAlign w:val="center"/>
          </w:tcPr>
          <w:p w:rsidR="003A58A3" w:rsidRPr="00037D1B" w:rsidRDefault="003A58A3" w:rsidP="006C6C78">
            <w:pPr>
              <w:spacing w:before="40" w:after="40"/>
              <w:jc w:val="center"/>
              <w:rPr>
                <w:sz w:val="22"/>
                <w:szCs w:val="22"/>
              </w:rPr>
            </w:pPr>
            <w:r>
              <w:rPr>
                <w:sz w:val="22"/>
                <w:szCs w:val="22"/>
              </w:rPr>
              <w:t>11,1%</w:t>
            </w:r>
          </w:p>
        </w:tc>
        <w:tc>
          <w:tcPr>
            <w:tcW w:w="1417" w:type="dxa"/>
            <w:vAlign w:val="center"/>
          </w:tcPr>
          <w:p w:rsidR="003A58A3" w:rsidRPr="00037D1B" w:rsidRDefault="003A58A3" w:rsidP="00334E8D">
            <w:pPr>
              <w:spacing w:before="40" w:after="40"/>
              <w:jc w:val="center"/>
              <w:rPr>
                <w:sz w:val="22"/>
                <w:szCs w:val="22"/>
              </w:rPr>
            </w:pPr>
            <w:r>
              <w:rPr>
                <w:sz w:val="22"/>
                <w:szCs w:val="22"/>
              </w:rPr>
              <w:t>22,3 / 12,6%</w:t>
            </w:r>
          </w:p>
        </w:tc>
        <w:tc>
          <w:tcPr>
            <w:tcW w:w="1418" w:type="dxa"/>
            <w:vAlign w:val="center"/>
          </w:tcPr>
          <w:p w:rsidR="003A58A3" w:rsidRPr="00037D1B" w:rsidRDefault="003A58A3" w:rsidP="003A58A3">
            <w:pPr>
              <w:spacing w:before="40" w:after="40"/>
              <w:jc w:val="center"/>
              <w:rPr>
                <w:sz w:val="22"/>
                <w:szCs w:val="22"/>
              </w:rPr>
            </w:pPr>
            <w:r>
              <w:rPr>
                <w:sz w:val="22"/>
                <w:szCs w:val="22"/>
              </w:rPr>
              <w:t>-12,2 / -6,1%</w:t>
            </w:r>
          </w:p>
        </w:tc>
      </w:tr>
      <w:tr w:rsidR="003A58A3" w:rsidRPr="0029403D" w:rsidTr="003A58A3">
        <w:trPr>
          <w:trHeight w:val="374"/>
        </w:trPr>
        <w:tc>
          <w:tcPr>
            <w:tcW w:w="2211" w:type="dxa"/>
          </w:tcPr>
          <w:p w:rsidR="003A58A3" w:rsidRPr="00037D1B" w:rsidRDefault="003A58A3" w:rsidP="006C6C78">
            <w:pPr>
              <w:spacing w:before="120"/>
              <w:jc w:val="both"/>
              <w:rPr>
                <w:sz w:val="22"/>
                <w:szCs w:val="22"/>
              </w:rPr>
            </w:pPr>
            <w:r>
              <w:rPr>
                <w:sz w:val="22"/>
                <w:szCs w:val="22"/>
              </w:rPr>
              <w:t>Госпошлина</w:t>
            </w:r>
          </w:p>
        </w:tc>
        <w:tc>
          <w:tcPr>
            <w:tcW w:w="737" w:type="dxa"/>
            <w:vAlign w:val="center"/>
          </w:tcPr>
          <w:p w:rsidR="003A58A3" w:rsidRPr="00037D1B" w:rsidRDefault="003A58A3" w:rsidP="00334E8D">
            <w:pPr>
              <w:jc w:val="center"/>
              <w:rPr>
                <w:sz w:val="22"/>
                <w:szCs w:val="22"/>
              </w:rPr>
            </w:pPr>
            <w:r>
              <w:rPr>
                <w:sz w:val="22"/>
                <w:szCs w:val="22"/>
              </w:rPr>
              <w:t>52,9</w:t>
            </w:r>
          </w:p>
        </w:tc>
        <w:tc>
          <w:tcPr>
            <w:tcW w:w="737" w:type="dxa"/>
            <w:vAlign w:val="center"/>
          </w:tcPr>
          <w:p w:rsidR="003A58A3" w:rsidRPr="00037D1B" w:rsidRDefault="003A58A3" w:rsidP="00334E8D">
            <w:pPr>
              <w:jc w:val="center"/>
              <w:rPr>
                <w:sz w:val="22"/>
                <w:szCs w:val="22"/>
              </w:rPr>
            </w:pPr>
            <w:r>
              <w:rPr>
                <w:sz w:val="22"/>
                <w:szCs w:val="22"/>
              </w:rPr>
              <w:t>3,6</w:t>
            </w:r>
          </w:p>
        </w:tc>
        <w:tc>
          <w:tcPr>
            <w:tcW w:w="850" w:type="dxa"/>
            <w:vAlign w:val="center"/>
          </w:tcPr>
          <w:p w:rsidR="003A58A3" w:rsidRPr="00037D1B" w:rsidRDefault="003A58A3" w:rsidP="006C6C78">
            <w:pPr>
              <w:jc w:val="center"/>
              <w:rPr>
                <w:sz w:val="22"/>
                <w:szCs w:val="22"/>
              </w:rPr>
            </w:pPr>
            <w:r>
              <w:rPr>
                <w:sz w:val="22"/>
                <w:szCs w:val="22"/>
              </w:rPr>
              <w:t>7,0</w:t>
            </w:r>
          </w:p>
        </w:tc>
        <w:tc>
          <w:tcPr>
            <w:tcW w:w="794" w:type="dxa"/>
            <w:vAlign w:val="center"/>
          </w:tcPr>
          <w:p w:rsidR="003A58A3" w:rsidRPr="00037D1B" w:rsidRDefault="003A58A3" w:rsidP="00334E8D">
            <w:pPr>
              <w:jc w:val="center"/>
              <w:rPr>
                <w:sz w:val="22"/>
                <w:szCs w:val="22"/>
              </w:rPr>
            </w:pPr>
            <w:r>
              <w:rPr>
                <w:sz w:val="22"/>
                <w:szCs w:val="22"/>
              </w:rPr>
              <w:t>9,9%</w:t>
            </w:r>
          </w:p>
        </w:tc>
        <w:tc>
          <w:tcPr>
            <w:tcW w:w="794" w:type="dxa"/>
            <w:vAlign w:val="center"/>
          </w:tcPr>
          <w:p w:rsidR="003A58A3" w:rsidRPr="00037D1B" w:rsidRDefault="003A58A3" w:rsidP="00334E8D">
            <w:pPr>
              <w:jc w:val="center"/>
              <w:rPr>
                <w:sz w:val="22"/>
                <w:szCs w:val="22"/>
              </w:rPr>
            </w:pPr>
            <w:r>
              <w:rPr>
                <w:sz w:val="22"/>
                <w:szCs w:val="22"/>
              </w:rPr>
              <w:t>0,7%</w:t>
            </w:r>
          </w:p>
        </w:tc>
        <w:tc>
          <w:tcPr>
            <w:tcW w:w="794" w:type="dxa"/>
            <w:vAlign w:val="center"/>
          </w:tcPr>
          <w:p w:rsidR="003A58A3" w:rsidRPr="00037D1B" w:rsidRDefault="003A58A3" w:rsidP="006C6C78">
            <w:pPr>
              <w:jc w:val="center"/>
              <w:rPr>
                <w:sz w:val="22"/>
                <w:szCs w:val="22"/>
              </w:rPr>
            </w:pPr>
            <w:r>
              <w:rPr>
                <w:sz w:val="22"/>
                <w:szCs w:val="22"/>
              </w:rPr>
              <w:t>0,4%</w:t>
            </w:r>
          </w:p>
        </w:tc>
        <w:tc>
          <w:tcPr>
            <w:tcW w:w="1417" w:type="dxa"/>
            <w:vAlign w:val="center"/>
          </w:tcPr>
          <w:p w:rsidR="003A58A3" w:rsidRDefault="003A58A3" w:rsidP="00334E8D">
            <w:pPr>
              <w:jc w:val="center"/>
              <w:rPr>
                <w:sz w:val="22"/>
                <w:szCs w:val="22"/>
              </w:rPr>
            </w:pPr>
            <w:r>
              <w:rPr>
                <w:sz w:val="22"/>
                <w:szCs w:val="22"/>
              </w:rPr>
              <w:t xml:space="preserve">-49,3 / </w:t>
            </w:r>
          </w:p>
          <w:p w:rsidR="003A58A3" w:rsidRPr="00037D1B" w:rsidRDefault="003A58A3" w:rsidP="00334E8D">
            <w:pPr>
              <w:jc w:val="center"/>
              <w:rPr>
                <w:sz w:val="22"/>
                <w:szCs w:val="22"/>
              </w:rPr>
            </w:pPr>
            <w:r>
              <w:rPr>
                <w:sz w:val="22"/>
                <w:szCs w:val="22"/>
              </w:rPr>
              <w:t>-93,2%</w:t>
            </w:r>
          </w:p>
        </w:tc>
        <w:tc>
          <w:tcPr>
            <w:tcW w:w="1418" w:type="dxa"/>
            <w:vAlign w:val="center"/>
          </w:tcPr>
          <w:p w:rsidR="003A58A3" w:rsidRPr="00037D1B" w:rsidRDefault="003A58A3" w:rsidP="003A58A3">
            <w:pPr>
              <w:jc w:val="center"/>
              <w:rPr>
                <w:sz w:val="22"/>
                <w:szCs w:val="22"/>
              </w:rPr>
            </w:pPr>
            <w:r>
              <w:rPr>
                <w:sz w:val="22"/>
                <w:szCs w:val="22"/>
              </w:rPr>
              <w:t>3,4 / 94,4%</w:t>
            </w:r>
          </w:p>
        </w:tc>
      </w:tr>
      <w:tr w:rsidR="003A58A3" w:rsidRPr="0029403D" w:rsidTr="003A58A3">
        <w:tc>
          <w:tcPr>
            <w:tcW w:w="2211" w:type="dxa"/>
          </w:tcPr>
          <w:p w:rsidR="003A58A3" w:rsidRPr="00037D1B" w:rsidRDefault="003A58A3" w:rsidP="00877B5F">
            <w:pPr>
              <w:rPr>
                <w:b/>
                <w:sz w:val="22"/>
                <w:szCs w:val="22"/>
              </w:rPr>
            </w:pPr>
            <w:r w:rsidRPr="00037D1B">
              <w:rPr>
                <w:b/>
                <w:sz w:val="22"/>
                <w:szCs w:val="22"/>
              </w:rPr>
              <w:t>Итого налоговых доходов</w:t>
            </w:r>
          </w:p>
        </w:tc>
        <w:tc>
          <w:tcPr>
            <w:tcW w:w="737" w:type="dxa"/>
            <w:vAlign w:val="center"/>
          </w:tcPr>
          <w:p w:rsidR="003A58A3" w:rsidRPr="00037D1B" w:rsidRDefault="003A58A3" w:rsidP="00334E8D">
            <w:pPr>
              <w:jc w:val="center"/>
              <w:rPr>
                <w:b/>
                <w:sz w:val="22"/>
                <w:szCs w:val="22"/>
              </w:rPr>
            </w:pPr>
            <w:r>
              <w:rPr>
                <w:b/>
                <w:sz w:val="22"/>
                <w:szCs w:val="22"/>
              </w:rPr>
              <w:t>536,9</w:t>
            </w:r>
          </w:p>
        </w:tc>
        <w:tc>
          <w:tcPr>
            <w:tcW w:w="737" w:type="dxa"/>
            <w:vAlign w:val="center"/>
          </w:tcPr>
          <w:p w:rsidR="003A58A3" w:rsidRPr="00037D1B" w:rsidRDefault="003A58A3" w:rsidP="00334E8D">
            <w:pPr>
              <w:jc w:val="center"/>
              <w:rPr>
                <w:b/>
                <w:sz w:val="22"/>
                <w:szCs w:val="22"/>
              </w:rPr>
            </w:pPr>
            <w:r>
              <w:rPr>
                <w:b/>
                <w:sz w:val="22"/>
                <w:szCs w:val="22"/>
              </w:rPr>
              <w:t>541,4</w:t>
            </w:r>
          </w:p>
        </w:tc>
        <w:tc>
          <w:tcPr>
            <w:tcW w:w="850" w:type="dxa"/>
            <w:vAlign w:val="center"/>
          </w:tcPr>
          <w:p w:rsidR="003A58A3" w:rsidRPr="00037D1B" w:rsidRDefault="003A58A3" w:rsidP="00877B5F">
            <w:pPr>
              <w:jc w:val="center"/>
              <w:rPr>
                <w:b/>
                <w:sz w:val="22"/>
                <w:szCs w:val="22"/>
              </w:rPr>
            </w:pPr>
            <w:r>
              <w:rPr>
                <w:b/>
                <w:sz w:val="22"/>
                <w:szCs w:val="22"/>
              </w:rPr>
              <w:t>1689,4</w:t>
            </w:r>
          </w:p>
        </w:tc>
        <w:tc>
          <w:tcPr>
            <w:tcW w:w="794" w:type="dxa"/>
            <w:vAlign w:val="center"/>
          </w:tcPr>
          <w:p w:rsidR="003A58A3" w:rsidRPr="00037D1B" w:rsidRDefault="003A58A3" w:rsidP="00877B5F">
            <w:pPr>
              <w:jc w:val="center"/>
              <w:rPr>
                <w:b/>
                <w:sz w:val="22"/>
                <w:szCs w:val="22"/>
              </w:rPr>
            </w:pPr>
            <w:r w:rsidRPr="00037D1B">
              <w:rPr>
                <w:b/>
                <w:sz w:val="22"/>
                <w:szCs w:val="22"/>
              </w:rPr>
              <w:t>100%</w:t>
            </w:r>
          </w:p>
        </w:tc>
        <w:tc>
          <w:tcPr>
            <w:tcW w:w="794" w:type="dxa"/>
            <w:vAlign w:val="center"/>
          </w:tcPr>
          <w:p w:rsidR="003A58A3" w:rsidRPr="00037D1B" w:rsidRDefault="003A58A3" w:rsidP="00877B5F">
            <w:pPr>
              <w:jc w:val="center"/>
              <w:rPr>
                <w:b/>
                <w:sz w:val="22"/>
                <w:szCs w:val="22"/>
              </w:rPr>
            </w:pPr>
            <w:r w:rsidRPr="00037D1B">
              <w:rPr>
                <w:b/>
                <w:sz w:val="22"/>
                <w:szCs w:val="22"/>
              </w:rPr>
              <w:t>100%</w:t>
            </w:r>
          </w:p>
        </w:tc>
        <w:tc>
          <w:tcPr>
            <w:tcW w:w="794" w:type="dxa"/>
            <w:vAlign w:val="center"/>
          </w:tcPr>
          <w:p w:rsidR="003A58A3" w:rsidRPr="00037D1B" w:rsidRDefault="003A58A3" w:rsidP="00877B5F">
            <w:pPr>
              <w:jc w:val="center"/>
              <w:rPr>
                <w:b/>
                <w:sz w:val="22"/>
                <w:szCs w:val="22"/>
              </w:rPr>
            </w:pPr>
            <w:r w:rsidRPr="00037D1B">
              <w:rPr>
                <w:b/>
                <w:sz w:val="22"/>
                <w:szCs w:val="22"/>
              </w:rPr>
              <w:t>100%</w:t>
            </w:r>
          </w:p>
        </w:tc>
        <w:tc>
          <w:tcPr>
            <w:tcW w:w="1417" w:type="dxa"/>
            <w:vAlign w:val="center"/>
          </w:tcPr>
          <w:p w:rsidR="003A58A3" w:rsidRPr="00037D1B" w:rsidRDefault="003A58A3" w:rsidP="00334E8D">
            <w:pPr>
              <w:jc w:val="center"/>
              <w:rPr>
                <w:b/>
                <w:sz w:val="22"/>
                <w:szCs w:val="22"/>
              </w:rPr>
            </w:pPr>
            <w:r>
              <w:rPr>
                <w:b/>
                <w:sz w:val="22"/>
                <w:szCs w:val="22"/>
              </w:rPr>
              <w:t>4,5 / 0,8%</w:t>
            </w:r>
          </w:p>
        </w:tc>
        <w:tc>
          <w:tcPr>
            <w:tcW w:w="1418" w:type="dxa"/>
            <w:vAlign w:val="center"/>
          </w:tcPr>
          <w:p w:rsidR="003A58A3" w:rsidRPr="00037D1B" w:rsidRDefault="003A58A3" w:rsidP="003A58A3">
            <w:pPr>
              <w:jc w:val="center"/>
              <w:rPr>
                <w:b/>
                <w:sz w:val="22"/>
                <w:szCs w:val="22"/>
              </w:rPr>
            </w:pPr>
            <w:r>
              <w:rPr>
                <w:b/>
                <w:sz w:val="22"/>
                <w:szCs w:val="22"/>
              </w:rPr>
              <w:t>1148,0 / 212,0%</w:t>
            </w:r>
          </w:p>
        </w:tc>
      </w:tr>
    </w:tbl>
    <w:p w:rsidR="003A58A3" w:rsidRPr="00F12520" w:rsidRDefault="003A58A3" w:rsidP="003A58A3">
      <w:pPr>
        <w:spacing w:before="120"/>
        <w:ind w:firstLine="567"/>
        <w:jc w:val="both"/>
        <w:rPr>
          <w:bCs/>
          <w:iCs/>
        </w:rPr>
      </w:pPr>
      <w:r>
        <w:rPr>
          <w:bCs/>
          <w:iCs/>
        </w:rPr>
        <w:t>Увеличение поступлений налоговых доходов</w:t>
      </w:r>
      <w:r w:rsidRPr="000B6B29">
        <w:rPr>
          <w:bCs/>
          <w:iCs/>
        </w:rPr>
        <w:t xml:space="preserve"> по отношению к </w:t>
      </w:r>
      <w:r>
        <w:rPr>
          <w:bCs/>
          <w:iCs/>
        </w:rPr>
        <w:t>2014</w:t>
      </w:r>
      <w:r w:rsidRPr="000B6B29">
        <w:rPr>
          <w:bCs/>
          <w:iCs/>
        </w:rPr>
        <w:t xml:space="preserve"> году</w:t>
      </w:r>
      <w:r>
        <w:rPr>
          <w:bCs/>
          <w:iCs/>
        </w:rPr>
        <w:t xml:space="preserve"> связано с включением в состав налоговых доходов акцизов </w:t>
      </w:r>
      <w:r w:rsidRPr="004F03A8">
        <w:rPr>
          <w:bCs/>
          <w:iCs/>
        </w:rPr>
        <w:t>по подакцизным товарам</w:t>
      </w:r>
      <w:r w:rsidRPr="000B6B29">
        <w:rPr>
          <w:bCs/>
          <w:iCs/>
        </w:rPr>
        <w:t>.</w:t>
      </w:r>
    </w:p>
    <w:p w:rsidR="00551F5B" w:rsidRDefault="00551F5B" w:rsidP="00551071">
      <w:pPr>
        <w:spacing w:before="120"/>
        <w:ind w:firstLine="567"/>
        <w:jc w:val="both"/>
      </w:pPr>
      <w:r w:rsidRPr="0042298A">
        <w:rPr>
          <w:b/>
          <w:bCs/>
          <w:iCs/>
        </w:rPr>
        <w:t>Н</w:t>
      </w:r>
      <w:r w:rsidR="001A6010" w:rsidRPr="0042298A">
        <w:rPr>
          <w:b/>
          <w:bCs/>
          <w:iCs/>
        </w:rPr>
        <w:t>ен</w:t>
      </w:r>
      <w:r w:rsidRPr="0042298A">
        <w:rPr>
          <w:b/>
          <w:bCs/>
          <w:iCs/>
        </w:rPr>
        <w:t>алоговые доходы</w:t>
      </w:r>
      <w:r w:rsidRPr="0042298A">
        <w:rPr>
          <w:bCs/>
          <w:iCs/>
        </w:rPr>
        <w:t xml:space="preserve"> местного бюджета за </w:t>
      </w:r>
      <w:r w:rsidR="003A58A3">
        <w:rPr>
          <w:bCs/>
          <w:iCs/>
        </w:rPr>
        <w:t>2015</w:t>
      </w:r>
      <w:r w:rsidRPr="0042298A">
        <w:rPr>
          <w:bCs/>
          <w:iCs/>
        </w:rPr>
        <w:t xml:space="preserve"> год исполнены в объеме </w:t>
      </w:r>
      <w:r w:rsidR="00AC466B">
        <w:rPr>
          <w:bCs/>
          <w:iCs/>
        </w:rPr>
        <w:t>6,5</w:t>
      </w:r>
      <w:r w:rsidRPr="0042298A">
        <w:rPr>
          <w:bCs/>
          <w:iCs/>
        </w:rPr>
        <w:t xml:space="preserve"> тыс. руб. или </w:t>
      </w:r>
      <w:r w:rsidR="00E85B2B">
        <w:rPr>
          <w:bCs/>
          <w:iCs/>
        </w:rPr>
        <w:t>100</w:t>
      </w:r>
      <w:r w:rsidRPr="0042298A">
        <w:rPr>
          <w:bCs/>
          <w:iCs/>
        </w:rPr>
        <w:t>% от плановых назначений</w:t>
      </w:r>
      <w:r w:rsidRPr="0042298A">
        <w:t>.</w:t>
      </w:r>
      <w:r w:rsidR="005A1A14" w:rsidRPr="0042298A">
        <w:t xml:space="preserve"> </w:t>
      </w:r>
    </w:p>
    <w:p w:rsidR="005E4A26" w:rsidRDefault="005E4A26" w:rsidP="007A39E2">
      <w:pPr>
        <w:spacing w:before="60"/>
        <w:ind w:firstLine="567"/>
        <w:jc w:val="both"/>
      </w:pPr>
      <w:r w:rsidRPr="0029403D">
        <w:t xml:space="preserve">Подробный анализ поступления </w:t>
      </w:r>
      <w:r w:rsidR="00292AB1">
        <w:t>не</w:t>
      </w:r>
      <w:r w:rsidRPr="0029403D">
        <w:t xml:space="preserve">налоговых доходов представлен в таблице </w:t>
      </w:r>
      <w:r>
        <w:t>2</w:t>
      </w:r>
      <w:r w:rsidRPr="0029403D">
        <w:t>.</w:t>
      </w:r>
    </w:p>
    <w:p w:rsidR="005E4A26" w:rsidRPr="000D210C" w:rsidRDefault="005E4A26" w:rsidP="005E4A26">
      <w:pPr>
        <w:spacing w:before="120" w:after="120"/>
        <w:jc w:val="center"/>
        <w:rPr>
          <w:sz w:val="22"/>
          <w:szCs w:val="22"/>
        </w:rPr>
      </w:pPr>
      <w:r w:rsidRPr="000D210C">
        <w:rPr>
          <w:sz w:val="22"/>
          <w:szCs w:val="22"/>
        </w:rPr>
        <w:t xml:space="preserve">Таблица </w:t>
      </w:r>
      <w:r>
        <w:rPr>
          <w:sz w:val="22"/>
          <w:szCs w:val="22"/>
        </w:rPr>
        <w:t>2</w:t>
      </w:r>
      <w:r w:rsidRPr="000D210C">
        <w:rPr>
          <w:sz w:val="22"/>
          <w:szCs w:val="22"/>
        </w:rPr>
        <w:t xml:space="preserve">. Структура и динамика поступления </w:t>
      </w:r>
      <w:r>
        <w:rPr>
          <w:sz w:val="22"/>
          <w:szCs w:val="22"/>
        </w:rPr>
        <w:t>не</w:t>
      </w:r>
      <w:r w:rsidRPr="000D210C">
        <w:rPr>
          <w:sz w:val="22"/>
          <w:szCs w:val="22"/>
        </w:rPr>
        <w:t>налоговых доходов местного бюджета, тыс. руб.</w:t>
      </w:r>
    </w:p>
    <w:tbl>
      <w:tblPr>
        <w:tblW w:w="97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737"/>
        <w:gridCol w:w="737"/>
        <w:gridCol w:w="737"/>
        <w:gridCol w:w="794"/>
        <w:gridCol w:w="794"/>
        <w:gridCol w:w="794"/>
        <w:gridCol w:w="1587"/>
        <w:gridCol w:w="1475"/>
      </w:tblGrid>
      <w:tr w:rsidR="005E4A26" w:rsidRPr="0029403D" w:rsidTr="00334E8D">
        <w:trPr>
          <w:trHeight w:val="528"/>
        </w:trPr>
        <w:tc>
          <w:tcPr>
            <w:tcW w:w="2098" w:type="dxa"/>
            <w:vMerge w:val="restart"/>
            <w:vAlign w:val="center"/>
          </w:tcPr>
          <w:p w:rsidR="008047AB" w:rsidRDefault="005E4A26" w:rsidP="008047AB">
            <w:pPr>
              <w:jc w:val="center"/>
              <w:rPr>
                <w:i/>
                <w:sz w:val="20"/>
                <w:szCs w:val="20"/>
              </w:rPr>
            </w:pPr>
            <w:r w:rsidRPr="0029403D">
              <w:rPr>
                <w:i/>
                <w:sz w:val="20"/>
                <w:szCs w:val="20"/>
              </w:rPr>
              <w:t>Наименования</w:t>
            </w:r>
          </w:p>
          <w:p w:rsidR="005E4A26" w:rsidRPr="0029403D" w:rsidRDefault="005E4A26" w:rsidP="008047AB">
            <w:pPr>
              <w:jc w:val="center"/>
              <w:rPr>
                <w:i/>
                <w:sz w:val="20"/>
                <w:szCs w:val="20"/>
              </w:rPr>
            </w:pPr>
            <w:r w:rsidRPr="0029403D">
              <w:rPr>
                <w:i/>
                <w:sz w:val="20"/>
                <w:szCs w:val="20"/>
              </w:rPr>
              <w:t>дохода</w:t>
            </w:r>
          </w:p>
        </w:tc>
        <w:tc>
          <w:tcPr>
            <w:tcW w:w="2211" w:type="dxa"/>
            <w:gridSpan w:val="3"/>
            <w:vAlign w:val="center"/>
          </w:tcPr>
          <w:p w:rsidR="005E4A26" w:rsidRDefault="005E4A26" w:rsidP="005E4A26">
            <w:pPr>
              <w:jc w:val="center"/>
              <w:rPr>
                <w:i/>
                <w:sz w:val="20"/>
                <w:szCs w:val="20"/>
              </w:rPr>
            </w:pPr>
            <w:r w:rsidRPr="0029403D">
              <w:rPr>
                <w:i/>
                <w:sz w:val="20"/>
                <w:szCs w:val="20"/>
              </w:rPr>
              <w:t xml:space="preserve">Исполнение </w:t>
            </w:r>
          </w:p>
          <w:p w:rsidR="005E4A26" w:rsidRPr="0029403D" w:rsidRDefault="005E4A26" w:rsidP="005E4A26">
            <w:pPr>
              <w:jc w:val="center"/>
              <w:rPr>
                <w:i/>
                <w:sz w:val="20"/>
                <w:szCs w:val="20"/>
              </w:rPr>
            </w:pPr>
            <w:r w:rsidRPr="0029403D">
              <w:rPr>
                <w:i/>
                <w:sz w:val="20"/>
                <w:szCs w:val="20"/>
              </w:rPr>
              <w:t>бюджета</w:t>
            </w:r>
          </w:p>
        </w:tc>
        <w:tc>
          <w:tcPr>
            <w:tcW w:w="2382" w:type="dxa"/>
            <w:gridSpan w:val="3"/>
          </w:tcPr>
          <w:p w:rsidR="005E4A26" w:rsidRPr="0029403D" w:rsidRDefault="005E4A26" w:rsidP="005E4A26">
            <w:pPr>
              <w:spacing w:before="40"/>
              <w:jc w:val="center"/>
              <w:rPr>
                <w:i/>
                <w:sz w:val="20"/>
                <w:szCs w:val="20"/>
              </w:rPr>
            </w:pPr>
            <w:r w:rsidRPr="0029403D">
              <w:rPr>
                <w:i/>
                <w:sz w:val="20"/>
                <w:szCs w:val="20"/>
              </w:rPr>
              <w:t xml:space="preserve">Доля в общем объёме </w:t>
            </w:r>
            <w:r>
              <w:rPr>
                <w:i/>
                <w:sz w:val="20"/>
                <w:szCs w:val="20"/>
              </w:rPr>
              <w:t>не</w:t>
            </w:r>
            <w:r w:rsidRPr="0029403D">
              <w:rPr>
                <w:i/>
                <w:sz w:val="20"/>
                <w:szCs w:val="20"/>
              </w:rPr>
              <w:t>налоговых доходов</w:t>
            </w:r>
          </w:p>
        </w:tc>
        <w:tc>
          <w:tcPr>
            <w:tcW w:w="3062" w:type="dxa"/>
            <w:gridSpan w:val="2"/>
            <w:vAlign w:val="center"/>
          </w:tcPr>
          <w:p w:rsidR="005E4A26" w:rsidRPr="0029403D" w:rsidRDefault="005E4A26" w:rsidP="005E4A26">
            <w:pPr>
              <w:jc w:val="center"/>
              <w:rPr>
                <w:i/>
                <w:sz w:val="20"/>
                <w:szCs w:val="20"/>
              </w:rPr>
            </w:pPr>
            <w:r w:rsidRPr="0029403D">
              <w:rPr>
                <w:i/>
                <w:sz w:val="20"/>
                <w:szCs w:val="20"/>
              </w:rPr>
              <w:t>Абсолютный прирост (тыс. руб./проценты)</w:t>
            </w:r>
          </w:p>
        </w:tc>
      </w:tr>
      <w:tr w:rsidR="005E4A26" w:rsidRPr="0029403D" w:rsidTr="00334E8D">
        <w:trPr>
          <w:trHeight w:val="301"/>
        </w:trPr>
        <w:tc>
          <w:tcPr>
            <w:tcW w:w="2098" w:type="dxa"/>
            <w:vMerge/>
            <w:vAlign w:val="center"/>
          </w:tcPr>
          <w:p w:rsidR="005E4A26" w:rsidRPr="0029403D" w:rsidRDefault="005E4A26" w:rsidP="005E4A26">
            <w:pPr>
              <w:rPr>
                <w:i/>
                <w:sz w:val="20"/>
                <w:szCs w:val="20"/>
              </w:rPr>
            </w:pPr>
          </w:p>
        </w:tc>
        <w:tc>
          <w:tcPr>
            <w:tcW w:w="737" w:type="dxa"/>
            <w:vAlign w:val="center"/>
          </w:tcPr>
          <w:p w:rsidR="005E4A26" w:rsidRPr="0029403D" w:rsidRDefault="003A58A3" w:rsidP="00552CD9">
            <w:pPr>
              <w:spacing w:before="40" w:after="40"/>
              <w:jc w:val="center"/>
              <w:rPr>
                <w:i/>
                <w:sz w:val="20"/>
                <w:szCs w:val="20"/>
              </w:rPr>
            </w:pPr>
            <w:r>
              <w:rPr>
                <w:i/>
                <w:sz w:val="20"/>
                <w:szCs w:val="20"/>
              </w:rPr>
              <w:t>2013</w:t>
            </w:r>
          </w:p>
        </w:tc>
        <w:tc>
          <w:tcPr>
            <w:tcW w:w="737" w:type="dxa"/>
            <w:vAlign w:val="center"/>
          </w:tcPr>
          <w:p w:rsidR="005E4A26" w:rsidRPr="0029403D" w:rsidRDefault="003A58A3" w:rsidP="00552CD9">
            <w:pPr>
              <w:spacing w:before="40" w:after="40"/>
              <w:jc w:val="center"/>
              <w:rPr>
                <w:i/>
                <w:sz w:val="20"/>
                <w:szCs w:val="20"/>
              </w:rPr>
            </w:pPr>
            <w:r>
              <w:rPr>
                <w:i/>
                <w:sz w:val="20"/>
                <w:szCs w:val="20"/>
              </w:rPr>
              <w:t>2014</w:t>
            </w:r>
          </w:p>
        </w:tc>
        <w:tc>
          <w:tcPr>
            <w:tcW w:w="737" w:type="dxa"/>
            <w:vAlign w:val="center"/>
          </w:tcPr>
          <w:p w:rsidR="005E4A26" w:rsidRPr="0029403D" w:rsidRDefault="003A58A3" w:rsidP="00552CD9">
            <w:pPr>
              <w:spacing w:before="40" w:after="40"/>
              <w:jc w:val="center"/>
              <w:rPr>
                <w:i/>
                <w:sz w:val="20"/>
                <w:szCs w:val="20"/>
              </w:rPr>
            </w:pPr>
            <w:r>
              <w:rPr>
                <w:i/>
                <w:sz w:val="20"/>
                <w:szCs w:val="20"/>
              </w:rPr>
              <w:t>2015</w:t>
            </w:r>
          </w:p>
        </w:tc>
        <w:tc>
          <w:tcPr>
            <w:tcW w:w="794" w:type="dxa"/>
            <w:vAlign w:val="center"/>
          </w:tcPr>
          <w:p w:rsidR="005E4A26" w:rsidRPr="0029403D" w:rsidRDefault="003A58A3" w:rsidP="00552CD9">
            <w:pPr>
              <w:spacing w:before="40" w:after="40"/>
              <w:jc w:val="center"/>
              <w:rPr>
                <w:i/>
                <w:sz w:val="20"/>
                <w:szCs w:val="20"/>
              </w:rPr>
            </w:pPr>
            <w:r>
              <w:rPr>
                <w:i/>
                <w:sz w:val="20"/>
                <w:szCs w:val="20"/>
              </w:rPr>
              <w:t>2013</w:t>
            </w:r>
          </w:p>
        </w:tc>
        <w:tc>
          <w:tcPr>
            <w:tcW w:w="794" w:type="dxa"/>
            <w:vAlign w:val="center"/>
          </w:tcPr>
          <w:p w:rsidR="005E4A26" w:rsidRPr="0029403D" w:rsidRDefault="003A58A3" w:rsidP="00552CD9">
            <w:pPr>
              <w:spacing w:before="40" w:after="40"/>
              <w:jc w:val="center"/>
              <w:rPr>
                <w:i/>
                <w:sz w:val="20"/>
                <w:szCs w:val="20"/>
              </w:rPr>
            </w:pPr>
            <w:r>
              <w:rPr>
                <w:i/>
                <w:sz w:val="20"/>
                <w:szCs w:val="20"/>
              </w:rPr>
              <w:t>2014</w:t>
            </w:r>
          </w:p>
        </w:tc>
        <w:tc>
          <w:tcPr>
            <w:tcW w:w="794" w:type="dxa"/>
            <w:vAlign w:val="center"/>
          </w:tcPr>
          <w:p w:rsidR="005E4A26" w:rsidRPr="0029403D" w:rsidRDefault="003A58A3" w:rsidP="00552CD9">
            <w:pPr>
              <w:spacing w:before="40" w:after="40"/>
              <w:jc w:val="center"/>
              <w:rPr>
                <w:i/>
                <w:sz w:val="20"/>
                <w:szCs w:val="20"/>
              </w:rPr>
            </w:pPr>
            <w:r>
              <w:rPr>
                <w:i/>
                <w:sz w:val="20"/>
                <w:szCs w:val="20"/>
              </w:rPr>
              <w:t>2015</w:t>
            </w:r>
          </w:p>
        </w:tc>
        <w:tc>
          <w:tcPr>
            <w:tcW w:w="1587" w:type="dxa"/>
            <w:vAlign w:val="center"/>
          </w:tcPr>
          <w:p w:rsidR="005E4A26" w:rsidRPr="0029403D" w:rsidRDefault="003A58A3" w:rsidP="00552CD9">
            <w:pPr>
              <w:spacing w:before="40" w:after="40"/>
              <w:jc w:val="center"/>
              <w:rPr>
                <w:i/>
                <w:sz w:val="20"/>
                <w:szCs w:val="20"/>
              </w:rPr>
            </w:pPr>
            <w:r>
              <w:rPr>
                <w:i/>
                <w:sz w:val="20"/>
                <w:szCs w:val="20"/>
              </w:rPr>
              <w:t>2014</w:t>
            </w:r>
            <w:r w:rsidR="005E4A26">
              <w:rPr>
                <w:i/>
                <w:sz w:val="20"/>
                <w:szCs w:val="20"/>
              </w:rPr>
              <w:t xml:space="preserve"> к </w:t>
            </w:r>
            <w:r>
              <w:rPr>
                <w:i/>
                <w:sz w:val="20"/>
                <w:szCs w:val="20"/>
              </w:rPr>
              <w:t>2013</w:t>
            </w:r>
          </w:p>
        </w:tc>
        <w:tc>
          <w:tcPr>
            <w:tcW w:w="1474" w:type="dxa"/>
            <w:vAlign w:val="center"/>
          </w:tcPr>
          <w:p w:rsidR="005E4A26" w:rsidRPr="0029403D" w:rsidRDefault="003A58A3" w:rsidP="00552CD9">
            <w:pPr>
              <w:spacing w:before="40" w:after="40"/>
              <w:jc w:val="center"/>
              <w:rPr>
                <w:i/>
                <w:sz w:val="20"/>
                <w:szCs w:val="20"/>
              </w:rPr>
            </w:pPr>
            <w:r>
              <w:rPr>
                <w:i/>
                <w:sz w:val="20"/>
                <w:szCs w:val="20"/>
              </w:rPr>
              <w:t>2015</w:t>
            </w:r>
            <w:r w:rsidR="005E4A26">
              <w:rPr>
                <w:i/>
                <w:sz w:val="20"/>
                <w:szCs w:val="20"/>
              </w:rPr>
              <w:t xml:space="preserve"> к </w:t>
            </w:r>
            <w:r>
              <w:rPr>
                <w:i/>
                <w:sz w:val="20"/>
                <w:szCs w:val="20"/>
              </w:rPr>
              <w:t>2014</w:t>
            </w:r>
          </w:p>
        </w:tc>
      </w:tr>
      <w:tr w:rsidR="003A58A3" w:rsidRPr="00D452D7" w:rsidTr="00334E8D">
        <w:trPr>
          <w:trHeight w:val="340"/>
        </w:trPr>
        <w:tc>
          <w:tcPr>
            <w:tcW w:w="2098" w:type="dxa"/>
            <w:vAlign w:val="center"/>
          </w:tcPr>
          <w:p w:rsidR="003A58A3" w:rsidRPr="00D452D7" w:rsidRDefault="003A58A3" w:rsidP="005E4A26">
            <w:pPr>
              <w:spacing w:before="40" w:after="40"/>
              <w:rPr>
                <w:sz w:val="22"/>
                <w:szCs w:val="22"/>
              </w:rPr>
            </w:pPr>
            <w:r>
              <w:rPr>
                <w:sz w:val="22"/>
                <w:szCs w:val="22"/>
              </w:rPr>
              <w:t>Аренда земли</w:t>
            </w:r>
          </w:p>
        </w:tc>
        <w:tc>
          <w:tcPr>
            <w:tcW w:w="737" w:type="dxa"/>
            <w:vAlign w:val="center"/>
          </w:tcPr>
          <w:p w:rsidR="003A58A3" w:rsidRPr="00F12520" w:rsidRDefault="003A58A3" w:rsidP="00334E8D">
            <w:pPr>
              <w:spacing w:before="40" w:after="40"/>
              <w:jc w:val="center"/>
              <w:rPr>
                <w:sz w:val="22"/>
                <w:szCs w:val="22"/>
              </w:rPr>
            </w:pPr>
            <w:r>
              <w:rPr>
                <w:sz w:val="22"/>
                <w:szCs w:val="22"/>
              </w:rPr>
              <w:t>61,7</w:t>
            </w:r>
          </w:p>
        </w:tc>
        <w:tc>
          <w:tcPr>
            <w:tcW w:w="737" w:type="dxa"/>
            <w:vAlign w:val="center"/>
          </w:tcPr>
          <w:p w:rsidR="003A58A3" w:rsidRPr="00F12520" w:rsidRDefault="003A58A3" w:rsidP="00334E8D">
            <w:pPr>
              <w:spacing w:before="40" w:after="40"/>
              <w:jc w:val="center"/>
              <w:rPr>
                <w:sz w:val="22"/>
                <w:szCs w:val="22"/>
              </w:rPr>
            </w:pPr>
            <w:r>
              <w:rPr>
                <w:sz w:val="22"/>
                <w:szCs w:val="22"/>
              </w:rPr>
              <w:t>112,4</w:t>
            </w:r>
          </w:p>
        </w:tc>
        <w:tc>
          <w:tcPr>
            <w:tcW w:w="737" w:type="dxa"/>
            <w:vAlign w:val="center"/>
          </w:tcPr>
          <w:p w:rsidR="003A58A3" w:rsidRPr="00F12520" w:rsidRDefault="003A58A3" w:rsidP="005E4A26">
            <w:pPr>
              <w:spacing w:before="40" w:after="40"/>
              <w:jc w:val="center"/>
              <w:rPr>
                <w:sz w:val="22"/>
                <w:szCs w:val="22"/>
              </w:rPr>
            </w:pPr>
          </w:p>
        </w:tc>
        <w:tc>
          <w:tcPr>
            <w:tcW w:w="794" w:type="dxa"/>
            <w:vAlign w:val="center"/>
          </w:tcPr>
          <w:p w:rsidR="003A58A3" w:rsidRPr="00F12520" w:rsidRDefault="003A58A3" w:rsidP="00334E8D">
            <w:pPr>
              <w:spacing w:before="40" w:after="40"/>
              <w:jc w:val="center"/>
              <w:rPr>
                <w:sz w:val="22"/>
                <w:szCs w:val="22"/>
              </w:rPr>
            </w:pPr>
            <w:r>
              <w:rPr>
                <w:sz w:val="22"/>
                <w:szCs w:val="22"/>
              </w:rPr>
              <w:t>31,0%</w:t>
            </w:r>
          </w:p>
        </w:tc>
        <w:tc>
          <w:tcPr>
            <w:tcW w:w="794" w:type="dxa"/>
            <w:vAlign w:val="center"/>
          </w:tcPr>
          <w:p w:rsidR="003A58A3" w:rsidRPr="00F12520" w:rsidRDefault="003A58A3" w:rsidP="00334E8D">
            <w:pPr>
              <w:spacing w:before="40" w:after="40"/>
              <w:jc w:val="center"/>
              <w:rPr>
                <w:sz w:val="22"/>
                <w:szCs w:val="22"/>
              </w:rPr>
            </w:pPr>
            <w:r>
              <w:rPr>
                <w:sz w:val="22"/>
                <w:szCs w:val="22"/>
              </w:rPr>
              <w:t>91,7%</w:t>
            </w:r>
          </w:p>
        </w:tc>
        <w:tc>
          <w:tcPr>
            <w:tcW w:w="794" w:type="dxa"/>
            <w:vAlign w:val="center"/>
          </w:tcPr>
          <w:p w:rsidR="003A58A3" w:rsidRPr="00F12520" w:rsidRDefault="003A58A3" w:rsidP="005E4A26">
            <w:pPr>
              <w:spacing w:before="40" w:after="40"/>
              <w:jc w:val="center"/>
              <w:rPr>
                <w:sz w:val="22"/>
                <w:szCs w:val="22"/>
              </w:rPr>
            </w:pPr>
          </w:p>
        </w:tc>
        <w:tc>
          <w:tcPr>
            <w:tcW w:w="1587" w:type="dxa"/>
            <w:vAlign w:val="center"/>
          </w:tcPr>
          <w:p w:rsidR="003A58A3" w:rsidRPr="00334E8D" w:rsidRDefault="003A58A3" w:rsidP="00334E8D">
            <w:pPr>
              <w:spacing w:before="40" w:after="40"/>
              <w:jc w:val="center"/>
              <w:rPr>
                <w:sz w:val="22"/>
                <w:szCs w:val="22"/>
              </w:rPr>
            </w:pPr>
            <w:r w:rsidRPr="00334E8D">
              <w:rPr>
                <w:sz w:val="22"/>
                <w:szCs w:val="22"/>
              </w:rPr>
              <w:t>50,7 / 82,2%</w:t>
            </w:r>
          </w:p>
        </w:tc>
        <w:tc>
          <w:tcPr>
            <w:tcW w:w="1474" w:type="dxa"/>
            <w:vAlign w:val="center"/>
          </w:tcPr>
          <w:p w:rsidR="003A58A3" w:rsidRPr="00334E8D" w:rsidRDefault="003A58A3" w:rsidP="005E4A26">
            <w:pPr>
              <w:spacing w:before="40" w:after="40"/>
              <w:jc w:val="center"/>
              <w:rPr>
                <w:sz w:val="22"/>
                <w:szCs w:val="22"/>
              </w:rPr>
            </w:pPr>
          </w:p>
        </w:tc>
      </w:tr>
      <w:tr w:rsidR="003A58A3" w:rsidRPr="00D452D7" w:rsidTr="00334E8D">
        <w:tc>
          <w:tcPr>
            <w:tcW w:w="2098" w:type="dxa"/>
          </w:tcPr>
          <w:p w:rsidR="003A58A3" w:rsidRPr="00D452D7" w:rsidRDefault="003A58A3" w:rsidP="005E4A26">
            <w:pPr>
              <w:spacing w:before="40" w:after="40"/>
              <w:rPr>
                <w:sz w:val="22"/>
                <w:szCs w:val="22"/>
              </w:rPr>
            </w:pPr>
            <w:r>
              <w:rPr>
                <w:sz w:val="22"/>
                <w:szCs w:val="22"/>
              </w:rPr>
              <w:t>Платные услуги</w:t>
            </w:r>
          </w:p>
        </w:tc>
        <w:tc>
          <w:tcPr>
            <w:tcW w:w="737" w:type="dxa"/>
            <w:vAlign w:val="center"/>
          </w:tcPr>
          <w:p w:rsidR="003A58A3" w:rsidRPr="00F12520" w:rsidRDefault="003A58A3" w:rsidP="00334E8D">
            <w:pPr>
              <w:spacing w:before="40" w:after="40"/>
              <w:jc w:val="center"/>
              <w:rPr>
                <w:sz w:val="22"/>
                <w:szCs w:val="22"/>
              </w:rPr>
            </w:pPr>
          </w:p>
        </w:tc>
        <w:tc>
          <w:tcPr>
            <w:tcW w:w="737" w:type="dxa"/>
            <w:vAlign w:val="center"/>
          </w:tcPr>
          <w:p w:rsidR="003A58A3" w:rsidRPr="00F12520" w:rsidRDefault="003A58A3" w:rsidP="00334E8D">
            <w:pPr>
              <w:spacing w:before="40" w:after="40"/>
              <w:jc w:val="center"/>
              <w:rPr>
                <w:sz w:val="22"/>
                <w:szCs w:val="22"/>
              </w:rPr>
            </w:pPr>
            <w:r>
              <w:rPr>
                <w:sz w:val="22"/>
                <w:szCs w:val="22"/>
              </w:rPr>
              <w:t>2,8</w:t>
            </w:r>
          </w:p>
        </w:tc>
        <w:tc>
          <w:tcPr>
            <w:tcW w:w="737" w:type="dxa"/>
            <w:vAlign w:val="center"/>
          </w:tcPr>
          <w:p w:rsidR="003A58A3" w:rsidRPr="00F12520" w:rsidRDefault="003A58A3" w:rsidP="005E4A26">
            <w:pPr>
              <w:spacing w:before="40" w:after="40"/>
              <w:jc w:val="center"/>
              <w:rPr>
                <w:sz w:val="22"/>
                <w:szCs w:val="22"/>
              </w:rPr>
            </w:pPr>
            <w:r>
              <w:rPr>
                <w:sz w:val="22"/>
                <w:szCs w:val="22"/>
              </w:rPr>
              <w:t>3,5</w:t>
            </w:r>
          </w:p>
        </w:tc>
        <w:tc>
          <w:tcPr>
            <w:tcW w:w="794" w:type="dxa"/>
            <w:vAlign w:val="center"/>
          </w:tcPr>
          <w:p w:rsidR="003A58A3" w:rsidRPr="00F12520" w:rsidRDefault="003A58A3" w:rsidP="00334E8D">
            <w:pPr>
              <w:spacing w:before="40" w:after="40"/>
              <w:jc w:val="center"/>
              <w:rPr>
                <w:sz w:val="22"/>
                <w:szCs w:val="22"/>
              </w:rPr>
            </w:pPr>
          </w:p>
        </w:tc>
        <w:tc>
          <w:tcPr>
            <w:tcW w:w="794" w:type="dxa"/>
            <w:vAlign w:val="center"/>
          </w:tcPr>
          <w:p w:rsidR="003A58A3" w:rsidRPr="00F12520" w:rsidRDefault="003A58A3" w:rsidP="00334E8D">
            <w:pPr>
              <w:spacing w:before="40" w:after="40"/>
              <w:jc w:val="center"/>
              <w:rPr>
                <w:sz w:val="22"/>
                <w:szCs w:val="22"/>
              </w:rPr>
            </w:pPr>
            <w:r>
              <w:rPr>
                <w:sz w:val="22"/>
                <w:szCs w:val="22"/>
              </w:rPr>
              <w:t>2,3%</w:t>
            </w:r>
          </w:p>
        </w:tc>
        <w:tc>
          <w:tcPr>
            <w:tcW w:w="794" w:type="dxa"/>
            <w:vAlign w:val="center"/>
          </w:tcPr>
          <w:p w:rsidR="003A58A3" w:rsidRPr="00F12520" w:rsidRDefault="003A58A3" w:rsidP="005E4A26">
            <w:pPr>
              <w:spacing w:before="40" w:after="40"/>
              <w:jc w:val="center"/>
              <w:rPr>
                <w:sz w:val="22"/>
                <w:szCs w:val="22"/>
              </w:rPr>
            </w:pPr>
            <w:r>
              <w:rPr>
                <w:sz w:val="22"/>
                <w:szCs w:val="22"/>
              </w:rPr>
              <w:t>53,8%</w:t>
            </w:r>
          </w:p>
        </w:tc>
        <w:tc>
          <w:tcPr>
            <w:tcW w:w="1587" w:type="dxa"/>
            <w:vAlign w:val="center"/>
          </w:tcPr>
          <w:p w:rsidR="003A58A3" w:rsidRPr="00334E8D" w:rsidRDefault="003A58A3" w:rsidP="00334E8D">
            <w:pPr>
              <w:spacing w:before="40" w:after="40"/>
              <w:jc w:val="center"/>
              <w:rPr>
                <w:sz w:val="22"/>
                <w:szCs w:val="22"/>
              </w:rPr>
            </w:pPr>
          </w:p>
        </w:tc>
        <w:tc>
          <w:tcPr>
            <w:tcW w:w="1474" w:type="dxa"/>
            <w:vAlign w:val="center"/>
          </w:tcPr>
          <w:p w:rsidR="003A58A3" w:rsidRPr="00334E8D" w:rsidRDefault="00334E8D" w:rsidP="005E4A26">
            <w:pPr>
              <w:spacing w:before="40" w:after="40"/>
              <w:jc w:val="center"/>
              <w:rPr>
                <w:sz w:val="22"/>
                <w:szCs w:val="22"/>
              </w:rPr>
            </w:pPr>
            <w:r w:rsidRPr="00334E8D">
              <w:rPr>
                <w:sz w:val="22"/>
                <w:szCs w:val="22"/>
              </w:rPr>
              <w:t>0,7 / 25,0%</w:t>
            </w:r>
          </w:p>
        </w:tc>
      </w:tr>
      <w:tr w:rsidR="003A58A3" w:rsidRPr="00D452D7" w:rsidTr="00334E8D">
        <w:tc>
          <w:tcPr>
            <w:tcW w:w="2098" w:type="dxa"/>
          </w:tcPr>
          <w:p w:rsidR="003A58A3" w:rsidRPr="00D452D7" w:rsidRDefault="003A58A3" w:rsidP="00D41C3A">
            <w:pPr>
              <w:spacing w:before="40"/>
              <w:rPr>
                <w:sz w:val="22"/>
                <w:szCs w:val="22"/>
              </w:rPr>
            </w:pPr>
            <w:r>
              <w:rPr>
                <w:sz w:val="22"/>
                <w:szCs w:val="22"/>
              </w:rPr>
              <w:t>Возмещение затрат</w:t>
            </w:r>
          </w:p>
        </w:tc>
        <w:tc>
          <w:tcPr>
            <w:tcW w:w="737" w:type="dxa"/>
            <w:vAlign w:val="center"/>
          </w:tcPr>
          <w:p w:rsidR="003A58A3" w:rsidRPr="00F12520" w:rsidRDefault="003A58A3" w:rsidP="00334E8D">
            <w:pPr>
              <w:spacing w:before="40" w:after="40"/>
              <w:jc w:val="center"/>
              <w:rPr>
                <w:sz w:val="22"/>
                <w:szCs w:val="22"/>
              </w:rPr>
            </w:pPr>
            <w:r>
              <w:rPr>
                <w:sz w:val="22"/>
                <w:szCs w:val="22"/>
              </w:rPr>
              <w:t>115,0</w:t>
            </w:r>
          </w:p>
        </w:tc>
        <w:tc>
          <w:tcPr>
            <w:tcW w:w="737" w:type="dxa"/>
            <w:vAlign w:val="center"/>
          </w:tcPr>
          <w:p w:rsidR="003A58A3" w:rsidRPr="00F12520" w:rsidRDefault="003A58A3" w:rsidP="00334E8D">
            <w:pPr>
              <w:spacing w:before="40" w:after="40"/>
              <w:jc w:val="center"/>
              <w:rPr>
                <w:sz w:val="22"/>
                <w:szCs w:val="22"/>
              </w:rPr>
            </w:pPr>
            <w:r>
              <w:rPr>
                <w:sz w:val="22"/>
                <w:szCs w:val="22"/>
              </w:rPr>
              <w:t>6,0</w:t>
            </w:r>
          </w:p>
        </w:tc>
        <w:tc>
          <w:tcPr>
            <w:tcW w:w="737" w:type="dxa"/>
            <w:vAlign w:val="center"/>
          </w:tcPr>
          <w:p w:rsidR="003A58A3" w:rsidRPr="00F12520" w:rsidRDefault="003A58A3" w:rsidP="005E4A26">
            <w:pPr>
              <w:spacing w:before="40" w:after="40"/>
              <w:jc w:val="center"/>
              <w:rPr>
                <w:sz w:val="22"/>
                <w:szCs w:val="22"/>
              </w:rPr>
            </w:pPr>
            <w:r>
              <w:rPr>
                <w:sz w:val="22"/>
                <w:szCs w:val="22"/>
              </w:rPr>
              <w:t>3,0</w:t>
            </w:r>
          </w:p>
        </w:tc>
        <w:tc>
          <w:tcPr>
            <w:tcW w:w="794" w:type="dxa"/>
            <w:vAlign w:val="center"/>
          </w:tcPr>
          <w:p w:rsidR="003A58A3" w:rsidRPr="00F12520" w:rsidRDefault="003A58A3" w:rsidP="00334E8D">
            <w:pPr>
              <w:spacing w:before="40" w:after="40"/>
              <w:jc w:val="center"/>
              <w:rPr>
                <w:sz w:val="22"/>
                <w:szCs w:val="22"/>
              </w:rPr>
            </w:pPr>
            <w:r>
              <w:rPr>
                <w:sz w:val="22"/>
                <w:szCs w:val="22"/>
              </w:rPr>
              <w:t>57,8%</w:t>
            </w:r>
          </w:p>
        </w:tc>
        <w:tc>
          <w:tcPr>
            <w:tcW w:w="794" w:type="dxa"/>
            <w:vAlign w:val="center"/>
          </w:tcPr>
          <w:p w:rsidR="003A58A3" w:rsidRPr="00F12520" w:rsidRDefault="003A58A3" w:rsidP="00334E8D">
            <w:pPr>
              <w:spacing w:before="40" w:after="40"/>
              <w:jc w:val="center"/>
              <w:rPr>
                <w:sz w:val="22"/>
                <w:szCs w:val="22"/>
              </w:rPr>
            </w:pPr>
            <w:r>
              <w:rPr>
                <w:sz w:val="22"/>
                <w:szCs w:val="22"/>
              </w:rPr>
              <w:t>4,9%</w:t>
            </w:r>
          </w:p>
        </w:tc>
        <w:tc>
          <w:tcPr>
            <w:tcW w:w="794" w:type="dxa"/>
            <w:vAlign w:val="center"/>
          </w:tcPr>
          <w:p w:rsidR="003A58A3" w:rsidRPr="00F12520" w:rsidRDefault="003A58A3" w:rsidP="005E4A26">
            <w:pPr>
              <w:spacing w:before="40" w:after="40"/>
              <w:jc w:val="center"/>
              <w:rPr>
                <w:sz w:val="22"/>
                <w:szCs w:val="22"/>
              </w:rPr>
            </w:pPr>
            <w:r>
              <w:rPr>
                <w:sz w:val="22"/>
                <w:szCs w:val="22"/>
              </w:rPr>
              <w:t>46,2%</w:t>
            </w:r>
          </w:p>
        </w:tc>
        <w:tc>
          <w:tcPr>
            <w:tcW w:w="1587" w:type="dxa"/>
            <w:vAlign w:val="center"/>
          </w:tcPr>
          <w:p w:rsidR="003A58A3" w:rsidRPr="00334E8D" w:rsidRDefault="003A58A3" w:rsidP="00334E8D">
            <w:pPr>
              <w:jc w:val="center"/>
              <w:rPr>
                <w:spacing w:val="-2"/>
                <w:sz w:val="22"/>
                <w:szCs w:val="22"/>
              </w:rPr>
            </w:pPr>
            <w:r w:rsidRPr="00334E8D">
              <w:rPr>
                <w:spacing w:val="-2"/>
                <w:sz w:val="22"/>
                <w:szCs w:val="22"/>
              </w:rPr>
              <w:t>-109,0 / -94,8%</w:t>
            </w:r>
          </w:p>
        </w:tc>
        <w:tc>
          <w:tcPr>
            <w:tcW w:w="1474" w:type="dxa"/>
            <w:vAlign w:val="center"/>
          </w:tcPr>
          <w:p w:rsidR="003A58A3" w:rsidRPr="00334E8D" w:rsidRDefault="003A58A3" w:rsidP="00334E8D">
            <w:pPr>
              <w:jc w:val="center"/>
              <w:rPr>
                <w:spacing w:val="-2"/>
                <w:sz w:val="22"/>
                <w:szCs w:val="22"/>
              </w:rPr>
            </w:pPr>
            <w:r w:rsidRPr="00334E8D">
              <w:rPr>
                <w:spacing w:val="-2"/>
                <w:sz w:val="22"/>
                <w:szCs w:val="22"/>
              </w:rPr>
              <w:t>-</w:t>
            </w:r>
            <w:r w:rsidR="00334E8D" w:rsidRPr="00334E8D">
              <w:rPr>
                <w:spacing w:val="-2"/>
                <w:sz w:val="22"/>
                <w:szCs w:val="22"/>
              </w:rPr>
              <w:t>3</w:t>
            </w:r>
            <w:r w:rsidRPr="00334E8D">
              <w:rPr>
                <w:spacing w:val="-2"/>
                <w:sz w:val="22"/>
                <w:szCs w:val="22"/>
              </w:rPr>
              <w:t>,0 / -</w:t>
            </w:r>
            <w:r w:rsidR="00334E8D" w:rsidRPr="00334E8D">
              <w:rPr>
                <w:spacing w:val="-2"/>
                <w:sz w:val="22"/>
                <w:szCs w:val="22"/>
              </w:rPr>
              <w:t>50,0</w:t>
            </w:r>
            <w:r w:rsidRPr="00334E8D">
              <w:rPr>
                <w:spacing w:val="-2"/>
                <w:sz w:val="22"/>
                <w:szCs w:val="22"/>
              </w:rPr>
              <w:t>%</w:t>
            </w:r>
          </w:p>
        </w:tc>
      </w:tr>
      <w:tr w:rsidR="003A58A3" w:rsidRPr="00D452D7" w:rsidTr="00334E8D">
        <w:trPr>
          <w:trHeight w:val="283"/>
        </w:trPr>
        <w:tc>
          <w:tcPr>
            <w:tcW w:w="2098" w:type="dxa"/>
          </w:tcPr>
          <w:p w:rsidR="003A58A3" w:rsidRPr="00D452D7" w:rsidRDefault="003A58A3" w:rsidP="005E4A26">
            <w:pPr>
              <w:spacing w:before="40" w:after="40"/>
              <w:jc w:val="both"/>
              <w:rPr>
                <w:sz w:val="22"/>
                <w:szCs w:val="22"/>
              </w:rPr>
            </w:pPr>
            <w:r>
              <w:rPr>
                <w:sz w:val="22"/>
                <w:szCs w:val="22"/>
              </w:rPr>
              <w:t>Прочие</w:t>
            </w:r>
          </w:p>
        </w:tc>
        <w:tc>
          <w:tcPr>
            <w:tcW w:w="737" w:type="dxa"/>
            <w:vAlign w:val="center"/>
          </w:tcPr>
          <w:p w:rsidR="003A58A3" w:rsidRPr="00F12520" w:rsidRDefault="003A58A3" w:rsidP="00334E8D">
            <w:pPr>
              <w:spacing w:before="40" w:after="40"/>
              <w:jc w:val="center"/>
              <w:rPr>
                <w:sz w:val="22"/>
                <w:szCs w:val="22"/>
              </w:rPr>
            </w:pPr>
            <w:r>
              <w:rPr>
                <w:sz w:val="22"/>
                <w:szCs w:val="22"/>
              </w:rPr>
              <w:t>22,2</w:t>
            </w:r>
          </w:p>
        </w:tc>
        <w:tc>
          <w:tcPr>
            <w:tcW w:w="737" w:type="dxa"/>
            <w:vAlign w:val="center"/>
          </w:tcPr>
          <w:p w:rsidR="003A58A3" w:rsidRPr="00F12520" w:rsidRDefault="003A58A3" w:rsidP="00334E8D">
            <w:pPr>
              <w:spacing w:before="40" w:after="40"/>
              <w:jc w:val="center"/>
              <w:rPr>
                <w:sz w:val="22"/>
                <w:szCs w:val="22"/>
              </w:rPr>
            </w:pPr>
            <w:r>
              <w:rPr>
                <w:sz w:val="22"/>
                <w:szCs w:val="22"/>
              </w:rPr>
              <w:t>1,4</w:t>
            </w:r>
          </w:p>
        </w:tc>
        <w:tc>
          <w:tcPr>
            <w:tcW w:w="737" w:type="dxa"/>
            <w:vAlign w:val="center"/>
          </w:tcPr>
          <w:p w:rsidR="003A58A3" w:rsidRPr="00F12520" w:rsidRDefault="003A58A3" w:rsidP="005E4A26">
            <w:pPr>
              <w:spacing w:before="40" w:after="40"/>
              <w:jc w:val="center"/>
              <w:rPr>
                <w:sz w:val="22"/>
                <w:szCs w:val="22"/>
              </w:rPr>
            </w:pPr>
          </w:p>
        </w:tc>
        <w:tc>
          <w:tcPr>
            <w:tcW w:w="794" w:type="dxa"/>
            <w:vAlign w:val="center"/>
          </w:tcPr>
          <w:p w:rsidR="003A58A3" w:rsidRPr="00F12520" w:rsidRDefault="003A58A3" w:rsidP="00334E8D">
            <w:pPr>
              <w:spacing w:before="40" w:after="40"/>
              <w:jc w:val="center"/>
              <w:rPr>
                <w:sz w:val="22"/>
                <w:szCs w:val="22"/>
              </w:rPr>
            </w:pPr>
            <w:r>
              <w:rPr>
                <w:sz w:val="22"/>
                <w:szCs w:val="22"/>
              </w:rPr>
              <w:t>11,2%</w:t>
            </w:r>
          </w:p>
        </w:tc>
        <w:tc>
          <w:tcPr>
            <w:tcW w:w="794" w:type="dxa"/>
            <w:vAlign w:val="center"/>
          </w:tcPr>
          <w:p w:rsidR="003A58A3" w:rsidRPr="00F12520" w:rsidRDefault="003A58A3" w:rsidP="00334E8D">
            <w:pPr>
              <w:spacing w:before="40" w:after="40"/>
              <w:jc w:val="center"/>
              <w:rPr>
                <w:sz w:val="22"/>
                <w:szCs w:val="22"/>
              </w:rPr>
            </w:pPr>
            <w:r>
              <w:rPr>
                <w:sz w:val="22"/>
                <w:szCs w:val="22"/>
              </w:rPr>
              <w:t>1,1%</w:t>
            </w:r>
          </w:p>
        </w:tc>
        <w:tc>
          <w:tcPr>
            <w:tcW w:w="794" w:type="dxa"/>
            <w:vAlign w:val="center"/>
          </w:tcPr>
          <w:p w:rsidR="003A58A3" w:rsidRPr="00F12520" w:rsidRDefault="003A58A3" w:rsidP="005E4A26">
            <w:pPr>
              <w:spacing w:before="40" w:after="40"/>
              <w:jc w:val="center"/>
              <w:rPr>
                <w:sz w:val="22"/>
                <w:szCs w:val="22"/>
              </w:rPr>
            </w:pPr>
          </w:p>
        </w:tc>
        <w:tc>
          <w:tcPr>
            <w:tcW w:w="1587" w:type="dxa"/>
            <w:vAlign w:val="center"/>
          </w:tcPr>
          <w:p w:rsidR="003A58A3" w:rsidRPr="00334E8D" w:rsidRDefault="003A58A3" w:rsidP="00334E8D">
            <w:pPr>
              <w:spacing w:before="40" w:after="40"/>
              <w:jc w:val="center"/>
              <w:rPr>
                <w:sz w:val="22"/>
                <w:szCs w:val="22"/>
              </w:rPr>
            </w:pPr>
            <w:r w:rsidRPr="00334E8D">
              <w:rPr>
                <w:sz w:val="22"/>
                <w:szCs w:val="22"/>
              </w:rPr>
              <w:t>-20,8 / -93,7%</w:t>
            </w:r>
          </w:p>
        </w:tc>
        <w:tc>
          <w:tcPr>
            <w:tcW w:w="1474" w:type="dxa"/>
            <w:vAlign w:val="center"/>
          </w:tcPr>
          <w:p w:rsidR="003A58A3" w:rsidRPr="00334E8D" w:rsidRDefault="003A58A3" w:rsidP="005E4A26">
            <w:pPr>
              <w:spacing w:before="40" w:after="40"/>
              <w:jc w:val="center"/>
              <w:rPr>
                <w:sz w:val="22"/>
                <w:szCs w:val="22"/>
              </w:rPr>
            </w:pPr>
          </w:p>
        </w:tc>
      </w:tr>
      <w:tr w:rsidR="003A58A3" w:rsidRPr="0029403D" w:rsidTr="00334E8D">
        <w:tc>
          <w:tcPr>
            <w:tcW w:w="2098" w:type="dxa"/>
          </w:tcPr>
          <w:p w:rsidR="003A58A3" w:rsidRPr="0029403D" w:rsidRDefault="003A58A3" w:rsidP="005E4A26">
            <w:pPr>
              <w:rPr>
                <w:b/>
                <w:sz w:val="22"/>
                <w:szCs w:val="22"/>
              </w:rPr>
            </w:pPr>
            <w:r w:rsidRPr="0029403D">
              <w:rPr>
                <w:b/>
                <w:sz w:val="22"/>
                <w:szCs w:val="22"/>
              </w:rPr>
              <w:t xml:space="preserve">Итого </w:t>
            </w:r>
            <w:r>
              <w:rPr>
                <w:b/>
                <w:sz w:val="22"/>
                <w:szCs w:val="22"/>
              </w:rPr>
              <w:t>не</w:t>
            </w:r>
            <w:r w:rsidRPr="0029403D">
              <w:rPr>
                <w:b/>
                <w:sz w:val="22"/>
                <w:szCs w:val="22"/>
              </w:rPr>
              <w:t>налог</w:t>
            </w:r>
            <w:r w:rsidRPr="0029403D">
              <w:rPr>
                <w:b/>
                <w:sz w:val="22"/>
                <w:szCs w:val="22"/>
              </w:rPr>
              <w:t>о</w:t>
            </w:r>
            <w:r w:rsidRPr="0029403D">
              <w:rPr>
                <w:b/>
                <w:sz w:val="22"/>
                <w:szCs w:val="22"/>
              </w:rPr>
              <w:t>вых доходов</w:t>
            </w:r>
          </w:p>
        </w:tc>
        <w:tc>
          <w:tcPr>
            <w:tcW w:w="737" w:type="dxa"/>
            <w:vAlign w:val="center"/>
          </w:tcPr>
          <w:p w:rsidR="003A58A3" w:rsidRPr="00F12520" w:rsidRDefault="003A58A3" w:rsidP="00334E8D">
            <w:pPr>
              <w:jc w:val="center"/>
              <w:rPr>
                <w:b/>
                <w:sz w:val="22"/>
                <w:szCs w:val="22"/>
              </w:rPr>
            </w:pPr>
            <w:r>
              <w:rPr>
                <w:b/>
                <w:sz w:val="22"/>
                <w:szCs w:val="22"/>
              </w:rPr>
              <w:t>198,9</w:t>
            </w:r>
          </w:p>
        </w:tc>
        <w:tc>
          <w:tcPr>
            <w:tcW w:w="737" w:type="dxa"/>
            <w:vAlign w:val="center"/>
          </w:tcPr>
          <w:p w:rsidR="003A58A3" w:rsidRPr="00F12520" w:rsidRDefault="003A58A3" w:rsidP="00334E8D">
            <w:pPr>
              <w:jc w:val="center"/>
              <w:rPr>
                <w:b/>
                <w:sz w:val="22"/>
                <w:szCs w:val="22"/>
              </w:rPr>
            </w:pPr>
            <w:r>
              <w:rPr>
                <w:b/>
                <w:sz w:val="22"/>
                <w:szCs w:val="22"/>
              </w:rPr>
              <w:t>122,6</w:t>
            </w:r>
          </w:p>
        </w:tc>
        <w:tc>
          <w:tcPr>
            <w:tcW w:w="737" w:type="dxa"/>
            <w:vAlign w:val="center"/>
          </w:tcPr>
          <w:p w:rsidR="003A58A3" w:rsidRPr="00F12520" w:rsidRDefault="003A58A3" w:rsidP="005E4A26">
            <w:pPr>
              <w:jc w:val="center"/>
              <w:rPr>
                <w:b/>
                <w:sz w:val="22"/>
                <w:szCs w:val="22"/>
              </w:rPr>
            </w:pPr>
            <w:r>
              <w:rPr>
                <w:b/>
                <w:sz w:val="22"/>
                <w:szCs w:val="22"/>
              </w:rPr>
              <w:t>6,5</w:t>
            </w:r>
          </w:p>
        </w:tc>
        <w:tc>
          <w:tcPr>
            <w:tcW w:w="794" w:type="dxa"/>
            <w:vAlign w:val="center"/>
          </w:tcPr>
          <w:p w:rsidR="003A58A3" w:rsidRPr="00F12520" w:rsidRDefault="003A58A3" w:rsidP="005E4A26">
            <w:pPr>
              <w:jc w:val="center"/>
              <w:rPr>
                <w:b/>
                <w:sz w:val="22"/>
                <w:szCs w:val="22"/>
              </w:rPr>
            </w:pPr>
            <w:r w:rsidRPr="00F12520">
              <w:rPr>
                <w:b/>
                <w:sz w:val="22"/>
                <w:szCs w:val="22"/>
              </w:rPr>
              <w:t>100%</w:t>
            </w:r>
          </w:p>
        </w:tc>
        <w:tc>
          <w:tcPr>
            <w:tcW w:w="794" w:type="dxa"/>
            <w:vAlign w:val="center"/>
          </w:tcPr>
          <w:p w:rsidR="003A58A3" w:rsidRPr="00F12520" w:rsidRDefault="003A58A3" w:rsidP="005E4A26">
            <w:pPr>
              <w:jc w:val="center"/>
              <w:rPr>
                <w:b/>
                <w:sz w:val="22"/>
                <w:szCs w:val="22"/>
              </w:rPr>
            </w:pPr>
            <w:r w:rsidRPr="00F12520">
              <w:rPr>
                <w:b/>
                <w:sz w:val="22"/>
                <w:szCs w:val="22"/>
              </w:rPr>
              <w:t>100%</w:t>
            </w:r>
          </w:p>
        </w:tc>
        <w:tc>
          <w:tcPr>
            <w:tcW w:w="794" w:type="dxa"/>
            <w:vAlign w:val="center"/>
          </w:tcPr>
          <w:p w:rsidR="003A58A3" w:rsidRPr="00F12520" w:rsidRDefault="003A58A3" w:rsidP="005E4A26">
            <w:pPr>
              <w:jc w:val="center"/>
              <w:rPr>
                <w:b/>
                <w:sz w:val="22"/>
                <w:szCs w:val="22"/>
              </w:rPr>
            </w:pPr>
            <w:r w:rsidRPr="00F12520">
              <w:rPr>
                <w:b/>
                <w:sz w:val="22"/>
                <w:szCs w:val="22"/>
              </w:rPr>
              <w:t>100%</w:t>
            </w:r>
          </w:p>
        </w:tc>
        <w:tc>
          <w:tcPr>
            <w:tcW w:w="1587" w:type="dxa"/>
            <w:vAlign w:val="center"/>
          </w:tcPr>
          <w:p w:rsidR="003A58A3" w:rsidRPr="00334E8D" w:rsidRDefault="003A58A3" w:rsidP="00334E8D">
            <w:pPr>
              <w:jc w:val="center"/>
              <w:rPr>
                <w:b/>
                <w:sz w:val="22"/>
                <w:szCs w:val="22"/>
              </w:rPr>
            </w:pPr>
            <w:r w:rsidRPr="00334E8D">
              <w:rPr>
                <w:b/>
                <w:sz w:val="22"/>
                <w:szCs w:val="22"/>
              </w:rPr>
              <w:t>-76,3 / -38,4%</w:t>
            </w:r>
          </w:p>
        </w:tc>
        <w:tc>
          <w:tcPr>
            <w:tcW w:w="1474" w:type="dxa"/>
            <w:vAlign w:val="center"/>
          </w:tcPr>
          <w:p w:rsidR="00334E8D" w:rsidRPr="00334E8D" w:rsidRDefault="003A58A3" w:rsidP="00334E8D">
            <w:pPr>
              <w:jc w:val="center"/>
              <w:rPr>
                <w:b/>
                <w:sz w:val="22"/>
                <w:szCs w:val="22"/>
              </w:rPr>
            </w:pPr>
            <w:r w:rsidRPr="00334E8D">
              <w:rPr>
                <w:b/>
                <w:sz w:val="22"/>
                <w:szCs w:val="22"/>
              </w:rPr>
              <w:t>-</w:t>
            </w:r>
            <w:r w:rsidR="00334E8D" w:rsidRPr="00334E8D">
              <w:rPr>
                <w:b/>
                <w:sz w:val="22"/>
                <w:szCs w:val="22"/>
              </w:rPr>
              <w:t>116,1</w:t>
            </w:r>
            <w:r w:rsidRPr="00334E8D">
              <w:rPr>
                <w:b/>
                <w:sz w:val="22"/>
                <w:szCs w:val="22"/>
              </w:rPr>
              <w:t xml:space="preserve"> / </w:t>
            </w:r>
          </w:p>
          <w:p w:rsidR="003A58A3" w:rsidRPr="00334E8D" w:rsidRDefault="003A58A3" w:rsidP="00334E8D">
            <w:pPr>
              <w:jc w:val="center"/>
              <w:rPr>
                <w:b/>
                <w:sz w:val="22"/>
                <w:szCs w:val="22"/>
              </w:rPr>
            </w:pPr>
            <w:r w:rsidRPr="00334E8D">
              <w:rPr>
                <w:b/>
                <w:sz w:val="22"/>
                <w:szCs w:val="22"/>
              </w:rPr>
              <w:t>-</w:t>
            </w:r>
            <w:r w:rsidR="00334E8D" w:rsidRPr="00334E8D">
              <w:rPr>
                <w:b/>
                <w:sz w:val="22"/>
                <w:szCs w:val="22"/>
              </w:rPr>
              <w:t>94,7</w:t>
            </w:r>
            <w:r w:rsidRPr="00334E8D">
              <w:rPr>
                <w:b/>
                <w:sz w:val="22"/>
                <w:szCs w:val="22"/>
              </w:rPr>
              <w:t>%</w:t>
            </w:r>
          </w:p>
        </w:tc>
      </w:tr>
    </w:tbl>
    <w:p w:rsidR="003A58A3" w:rsidRPr="005468EF" w:rsidRDefault="003A58A3" w:rsidP="003A58A3">
      <w:pPr>
        <w:spacing w:before="120"/>
        <w:ind w:firstLine="567"/>
        <w:jc w:val="both"/>
        <w:rPr>
          <w:rFonts w:ascii="Times New Roman CYR" w:hAnsi="Times New Roman CYR" w:cs="Times New Roman CYR"/>
        </w:rPr>
      </w:pPr>
      <w:r>
        <w:rPr>
          <w:rFonts w:ascii="Times New Roman CYR" w:hAnsi="Times New Roman CYR" w:cs="Times New Roman CYR"/>
        </w:rPr>
        <w:t>В связи с изменением в БК РФ доходы от аренды за земельные участки, расположенные в сельских поселениях, поступают по нормативу 100% в бюджет муниципального района.</w:t>
      </w:r>
    </w:p>
    <w:p w:rsidR="009C03FE" w:rsidRPr="0029403D" w:rsidRDefault="005E15EC" w:rsidP="00551071">
      <w:pPr>
        <w:spacing w:before="120"/>
        <w:ind w:firstLine="567"/>
        <w:jc w:val="both"/>
      </w:pPr>
      <w:r w:rsidRPr="0029403D">
        <w:rPr>
          <w:rFonts w:ascii="Times New Roman CYR" w:hAnsi="Times New Roman CYR" w:cs="Times New Roman CYR"/>
          <w:b/>
        </w:rPr>
        <w:t>Безвозмездные поступления</w:t>
      </w:r>
      <w:r w:rsidRPr="0029403D">
        <w:rPr>
          <w:rFonts w:ascii="Times New Roman CYR" w:hAnsi="Times New Roman CYR" w:cs="Times New Roman CYR"/>
        </w:rPr>
        <w:t xml:space="preserve"> </w:t>
      </w:r>
      <w:r w:rsidR="009C03FE" w:rsidRPr="0029403D">
        <w:rPr>
          <w:bCs/>
          <w:iCs/>
        </w:rPr>
        <w:t xml:space="preserve">местного бюджета за </w:t>
      </w:r>
      <w:r w:rsidR="003A58A3">
        <w:rPr>
          <w:bCs/>
          <w:iCs/>
        </w:rPr>
        <w:t>2015</w:t>
      </w:r>
      <w:r w:rsidR="009C03FE" w:rsidRPr="0029403D">
        <w:rPr>
          <w:bCs/>
          <w:iCs/>
        </w:rPr>
        <w:t xml:space="preserve"> год исполнены в объеме </w:t>
      </w:r>
      <w:r w:rsidR="00AC466B">
        <w:rPr>
          <w:bCs/>
          <w:iCs/>
        </w:rPr>
        <w:t>14618,9</w:t>
      </w:r>
      <w:r w:rsidR="009C03FE" w:rsidRPr="0029403D">
        <w:rPr>
          <w:bCs/>
          <w:iCs/>
        </w:rPr>
        <w:t xml:space="preserve"> тыс. руб. или </w:t>
      </w:r>
      <w:r w:rsidR="00AC466B">
        <w:rPr>
          <w:bCs/>
          <w:iCs/>
        </w:rPr>
        <w:t>72,7</w:t>
      </w:r>
      <w:r w:rsidR="009C03FE" w:rsidRPr="0029403D">
        <w:rPr>
          <w:bCs/>
          <w:iCs/>
        </w:rPr>
        <w:t>% от плановых назначений</w:t>
      </w:r>
      <w:r w:rsidR="00AC466B">
        <w:rPr>
          <w:bCs/>
          <w:iCs/>
        </w:rPr>
        <w:t xml:space="preserve"> (недоисполнение – 5492,5 тыс. руб.)</w:t>
      </w:r>
      <w:r w:rsidR="00292AB1">
        <w:t>.</w:t>
      </w:r>
      <w:r w:rsidR="00656FBC">
        <w:t xml:space="preserve"> </w:t>
      </w:r>
      <w:r w:rsidR="00656FBC" w:rsidRPr="00117380">
        <w:rPr>
          <w:i/>
        </w:rPr>
        <w:t xml:space="preserve">Информация о причинах </w:t>
      </w:r>
      <w:r w:rsidR="00656FBC">
        <w:rPr>
          <w:i/>
        </w:rPr>
        <w:t>неисполнения уточнённых бюджетных назначений</w:t>
      </w:r>
      <w:r w:rsidR="00656FBC" w:rsidRPr="00117380">
        <w:rPr>
          <w:i/>
        </w:rPr>
        <w:t xml:space="preserve"> </w:t>
      </w:r>
      <w:r w:rsidR="00656FBC">
        <w:rPr>
          <w:i/>
        </w:rPr>
        <w:t xml:space="preserve">на 2015 год </w:t>
      </w:r>
      <w:r w:rsidR="00656FBC" w:rsidRPr="00117380">
        <w:rPr>
          <w:i/>
        </w:rPr>
        <w:t>в пояснительной записке отсутствует.</w:t>
      </w:r>
    </w:p>
    <w:p w:rsidR="005E15EC" w:rsidRPr="0029403D" w:rsidRDefault="005E15EC" w:rsidP="00643E3E">
      <w:pPr>
        <w:spacing w:before="60"/>
        <w:ind w:firstLine="567"/>
        <w:jc w:val="both"/>
      </w:pPr>
      <w:r w:rsidRPr="0029403D">
        <w:t xml:space="preserve">Подробный анализ </w:t>
      </w:r>
      <w:r w:rsidR="00767833" w:rsidRPr="0029403D">
        <w:t xml:space="preserve">поступления </w:t>
      </w:r>
      <w:r w:rsidRPr="0029403D">
        <w:t xml:space="preserve">безвозмездных поступлений представлен в таблице </w:t>
      </w:r>
      <w:r w:rsidR="005E4A26">
        <w:t>3</w:t>
      </w:r>
      <w:r w:rsidRPr="0029403D">
        <w:t>.</w:t>
      </w:r>
    </w:p>
    <w:p w:rsidR="005E15EC" w:rsidRPr="00643E3E" w:rsidRDefault="005E15EC" w:rsidP="00051E41">
      <w:pPr>
        <w:spacing w:before="120" w:after="120"/>
        <w:jc w:val="center"/>
        <w:rPr>
          <w:sz w:val="22"/>
          <w:szCs w:val="22"/>
        </w:rPr>
      </w:pPr>
      <w:r w:rsidRPr="00643E3E">
        <w:rPr>
          <w:sz w:val="22"/>
          <w:szCs w:val="22"/>
        </w:rPr>
        <w:t xml:space="preserve">Таблица </w:t>
      </w:r>
      <w:r w:rsidR="00601CBB">
        <w:rPr>
          <w:sz w:val="22"/>
          <w:szCs w:val="22"/>
        </w:rPr>
        <w:t>3</w:t>
      </w:r>
      <w:r w:rsidRPr="00643E3E">
        <w:rPr>
          <w:sz w:val="22"/>
          <w:szCs w:val="22"/>
        </w:rPr>
        <w:t xml:space="preserve">. </w:t>
      </w:r>
      <w:r w:rsidR="004E793D" w:rsidRPr="00643E3E">
        <w:rPr>
          <w:sz w:val="22"/>
          <w:szCs w:val="22"/>
        </w:rPr>
        <w:t>С</w:t>
      </w:r>
      <w:r w:rsidRPr="00643E3E">
        <w:rPr>
          <w:sz w:val="22"/>
          <w:szCs w:val="22"/>
        </w:rPr>
        <w:t>труктур</w:t>
      </w:r>
      <w:r w:rsidR="004E793D" w:rsidRPr="00643E3E">
        <w:rPr>
          <w:sz w:val="22"/>
          <w:szCs w:val="22"/>
        </w:rPr>
        <w:t>а</w:t>
      </w:r>
      <w:r w:rsidRPr="00643E3E">
        <w:rPr>
          <w:sz w:val="22"/>
          <w:szCs w:val="22"/>
        </w:rPr>
        <w:t xml:space="preserve"> безвозмездных поступлений местного бюджета, тыс. руб.</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850"/>
        <w:gridCol w:w="907"/>
        <w:gridCol w:w="908"/>
        <w:gridCol w:w="794"/>
        <w:gridCol w:w="794"/>
        <w:gridCol w:w="794"/>
        <w:gridCol w:w="1531"/>
        <w:gridCol w:w="1474"/>
      </w:tblGrid>
      <w:tr w:rsidR="000C0B4C" w:rsidRPr="0029403D" w:rsidTr="008047AB">
        <w:trPr>
          <w:trHeight w:val="528"/>
        </w:trPr>
        <w:tc>
          <w:tcPr>
            <w:tcW w:w="1531" w:type="dxa"/>
            <w:vMerge w:val="restart"/>
            <w:vAlign w:val="center"/>
          </w:tcPr>
          <w:p w:rsidR="000C0B4C" w:rsidRPr="0029403D" w:rsidRDefault="000C0B4C" w:rsidP="005E4A26">
            <w:pPr>
              <w:jc w:val="center"/>
              <w:rPr>
                <w:i/>
                <w:sz w:val="20"/>
                <w:szCs w:val="20"/>
              </w:rPr>
            </w:pPr>
            <w:r w:rsidRPr="0029403D">
              <w:rPr>
                <w:i/>
                <w:sz w:val="20"/>
                <w:szCs w:val="20"/>
              </w:rPr>
              <w:t>Наименования дохода</w:t>
            </w:r>
          </w:p>
        </w:tc>
        <w:tc>
          <w:tcPr>
            <w:tcW w:w="2665" w:type="dxa"/>
            <w:gridSpan w:val="3"/>
            <w:vAlign w:val="center"/>
          </w:tcPr>
          <w:p w:rsidR="000C0B4C" w:rsidRPr="0029403D" w:rsidRDefault="000C0B4C" w:rsidP="002E14C6">
            <w:pPr>
              <w:jc w:val="center"/>
              <w:rPr>
                <w:i/>
                <w:sz w:val="20"/>
                <w:szCs w:val="20"/>
              </w:rPr>
            </w:pPr>
            <w:r w:rsidRPr="0029403D">
              <w:rPr>
                <w:i/>
                <w:sz w:val="20"/>
                <w:szCs w:val="20"/>
              </w:rPr>
              <w:t>Исполнение бюджета</w:t>
            </w:r>
          </w:p>
        </w:tc>
        <w:tc>
          <w:tcPr>
            <w:tcW w:w="2382" w:type="dxa"/>
            <w:gridSpan w:val="3"/>
          </w:tcPr>
          <w:p w:rsidR="000C0B4C" w:rsidRPr="0029403D" w:rsidRDefault="000C0B4C" w:rsidP="00877B5F">
            <w:pPr>
              <w:spacing w:before="40"/>
              <w:jc w:val="center"/>
              <w:rPr>
                <w:i/>
                <w:sz w:val="20"/>
                <w:szCs w:val="20"/>
              </w:rPr>
            </w:pPr>
            <w:r w:rsidRPr="0029403D">
              <w:rPr>
                <w:i/>
                <w:sz w:val="20"/>
                <w:szCs w:val="20"/>
              </w:rPr>
              <w:t>Доля в общем объёме безвозмездных посту</w:t>
            </w:r>
            <w:r w:rsidRPr="0029403D">
              <w:rPr>
                <w:i/>
                <w:sz w:val="20"/>
                <w:szCs w:val="20"/>
              </w:rPr>
              <w:t>п</w:t>
            </w:r>
            <w:r w:rsidRPr="0029403D">
              <w:rPr>
                <w:i/>
                <w:sz w:val="20"/>
                <w:szCs w:val="20"/>
              </w:rPr>
              <w:t>лений</w:t>
            </w:r>
          </w:p>
        </w:tc>
        <w:tc>
          <w:tcPr>
            <w:tcW w:w="3005" w:type="dxa"/>
            <w:gridSpan w:val="2"/>
            <w:vAlign w:val="center"/>
          </w:tcPr>
          <w:p w:rsidR="000C0B4C" w:rsidRPr="0029403D" w:rsidRDefault="000C0B4C" w:rsidP="005E4A26">
            <w:pPr>
              <w:jc w:val="center"/>
              <w:rPr>
                <w:i/>
                <w:sz w:val="20"/>
                <w:szCs w:val="20"/>
              </w:rPr>
            </w:pPr>
            <w:r w:rsidRPr="0029403D">
              <w:rPr>
                <w:i/>
                <w:sz w:val="20"/>
                <w:szCs w:val="20"/>
              </w:rPr>
              <w:t>Абсолютный прирост (тыс. руб./проценты)</w:t>
            </w:r>
          </w:p>
        </w:tc>
      </w:tr>
      <w:tr w:rsidR="000C0B4C" w:rsidRPr="0029403D" w:rsidTr="003A58A3">
        <w:trPr>
          <w:trHeight w:val="257"/>
        </w:trPr>
        <w:tc>
          <w:tcPr>
            <w:tcW w:w="1531" w:type="dxa"/>
            <w:vMerge/>
            <w:vAlign w:val="center"/>
          </w:tcPr>
          <w:p w:rsidR="000C0B4C" w:rsidRPr="0029403D" w:rsidRDefault="000C0B4C" w:rsidP="00877B5F">
            <w:pPr>
              <w:rPr>
                <w:i/>
                <w:sz w:val="20"/>
                <w:szCs w:val="20"/>
              </w:rPr>
            </w:pPr>
          </w:p>
        </w:tc>
        <w:tc>
          <w:tcPr>
            <w:tcW w:w="850" w:type="dxa"/>
            <w:vAlign w:val="center"/>
          </w:tcPr>
          <w:p w:rsidR="000C0B4C" w:rsidRPr="0029403D" w:rsidRDefault="003A58A3" w:rsidP="005E4A26">
            <w:pPr>
              <w:spacing w:before="40" w:after="40"/>
              <w:jc w:val="center"/>
              <w:rPr>
                <w:i/>
                <w:sz w:val="20"/>
                <w:szCs w:val="20"/>
              </w:rPr>
            </w:pPr>
            <w:r>
              <w:rPr>
                <w:i/>
                <w:sz w:val="20"/>
                <w:szCs w:val="20"/>
              </w:rPr>
              <w:t>2013</w:t>
            </w:r>
          </w:p>
        </w:tc>
        <w:tc>
          <w:tcPr>
            <w:tcW w:w="907" w:type="dxa"/>
            <w:vAlign w:val="center"/>
          </w:tcPr>
          <w:p w:rsidR="000C0B4C" w:rsidRPr="0029403D" w:rsidRDefault="003A58A3" w:rsidP="005E4A26">
            <w:pPr>
              <w:spacing w:before="40" w:after="40"/>
              <w:jc w:val="center"/>
              <w:rPr>
                <w:i/>
                <w:sz w:val="20"/>
                <w:szCs w:val="20"/>
              </w:rPr>
            </w:pPr>
            <w:r>
              <w:rPr>
                <w:i/>
                <w:sz w:val="20"/>
                <w:szCs w:val="20"/>
              </w:rPr>
              <w:t>2014</w:t>
            </w:r>
          </w:p>
        </w:tc>
        <w:tc>
          <w:tcPr>
            <w:tcW w:w="908" w:type="dxa"/>
            <w:vAlign w:val="center"/>
          </w:tcPr>
          <w:p w:rsidR="000C0B4C" w:rsidRPr="0029403D" w:rsidRDefault="003A58A3" w:rsidP="005E4A26">
            <w:pPr>
              <w:spacing w:before="40" w:after="40"/>
              <w:jc w:val="center"/>
              <w:rPr>
                <w:i/>
                <w:sz w:val="20"/>
                <w:szCs w:val="20"/>
              </w:rPr>
            </w:pPr>
            <w:r>
              <w:rPr>
                <w:i/>
                <w:sz w:val="20"/>
                <w:szCs w:val="20"/>
              </w:rPr>
              <w:t>2015</w:t>
            </w:r>
          </w:p>
        </w:tc>
        <w:tc>
          <w:tcPr>
            <w:tcW w:w="794" w:type="dxa"/>
            <w:vAlign w:val="center"/>
          </w:tcPr>
          <w:p w:rsidR="000C0B4C" w:rsidRPr="0029403D" w:rsidRDefault="003A58A3" w:rsidP="005E4A26">
            <w:pPr>
              <w:spacing w:before="40" w:after="40"/>
              <w:jc w:val="center"/>
              <w:rPr>
                <w:i/>
                <w:sz w:val="20"/>
                <w:szCs w:val="20"/>
              </w:rPr>
            </w:pPr>
            <w:r>
              <w:rPr>
                <w:i/>
                <w:sz w:val="20"/>
                <w:szCs w:val="20"/>
              </w:rPr>
              <w:t>2013</w:t>
            </w:r>
          </w:p>
        </w:tc>
        <w:tc>
          <w:tcPr>
            <w:tcW w:w="794" w:type="dxa"/>
            <w:vAlign w:val="center"/>
          </w:tcPr>
          <w:p w:rsidR="000C0B4C" w:rsidRPr="0029403D" w:rsidRDefault="003A58A3" w:rsidP="005E4A26">
            <w:pPr>
              <w:spacing w:before="40" w:after="40"/>
              <w:jc w:val="center"/>
              <w:rPr>
                <w:i/>
                <w:sz w:val="20"/>
                <w:szCs w:val="20"/>
              </w:rPr>
            </w:pPr>
            <w:r>
              <w:rPr>
                <w:i/>
                <w:sz w:val="20"/>
                <w:szCs w:val="20"/>
              </w:rPr>
              <w:t>2014</w:t>
            </w:r>
          </w:p>
        </w:tc>
        <w:tc>
          <w:tcPr>
            <w:tcW w:w="794" w:type="dxa"/>
            <w:vAlign w:val="center"/>
          </w:tcPr>
          <w:p w:rsidR="000C0B4C" w:rsidRPr="0029403D" w:rsidRDefault="003A58A3" w:rsidP="005E4A26">
            <w:pPr>
              <w:spacing w:before="40" w:after="40"/>
              <w:jc w:val="center"/>
              <w:rPr>
                <w:i/>
                <w:sz w:val="20"/>
                <w:szCs w:val="20"/>
              </w:rPr>
            </w:pPr>
            <w:r>
              <w:rPr>
                <w:i/>
                <w:sz w:val="20"/>
                <w:szCs w:val="20"/>
              </w:rPr>
              <w:t>2015</w:t>
            </w:r>
          </w:p>
        </w:tc>
        <w:tc>
          <w:tcPr>
            <w:tcW w:w="1531" w:type="dxa"/>
            <w:vAlign w:val="center"/>
          </w:tcPr>
          <w:p w:rsidR="000C0B4C" w:rsidRPr="0029403D" w:rsidRDefault="003A58A3" w:rsidP="005E4A26">
            <w:pPr>
              <w:spacing w:before="40" w:after="40"/>
              <w:jc w:val="center"/>
              <w:rPr>
                <w:i/>
                <w:sz w:val="20"/>
                <w:szCs w:val="20"/>
              </w:rPr>
            </w:pPr>
            <w:r>
              <w:rPr>
                <w:i/>
                <w:sz w:val="20"/>
                <w:szCs w:val="20"/>
              </w:rPr>
              <w:t>2014</w:t>
            </w:r>
            <w:r w:rsidR="005E4A26">
              <w:rPr>
                <w:i/>
                <w:sz w:val="20"/>
                <w:szCs w:val="20"/>
              </w:rPr>
              <w:t xml:space="preserve"> к </w:t>
            </w:r>
            <w:r>
              <w:rPr>
                <w:i/>
                <w:sz w:val="20"/>
                <w:szCs w:val="20"/>
              </w:rPr>
              <w:t>2013</w:t>
            </w:r>
          </w:p>
        </w:tc>
        <w:tc>
          <w:tcPr>
            <w:tcW w:w="1474" w:type="dxa"/>
            <w:vAlign w:val="center"/>
          </w:tcPr>
          <w:p w:rsidR="000C0B4C" w:rsidRPr="0029403D" w:rsidRDefault="003A58A3" w:rsidP="005E4A26">
            <w:pPr>
              <w:spacing w:before="40" w:after="40"/>
              <w:jc w:val="center"/>
              <w:rPr>
                <w:i/>
                <w:sz w:val="20"/>
                <w:szCs w:val="20"/>
              </w:rPr>
            </w:pPr>
            <w:r>
              <w:rPr>
                <w:i/>
                <w:sz w:val="20"/>
                <w:szCs w:val="20"/>
              </w:rPr>
              <w:t>2015</w:t>
            </w:r>
            <w:r w:rsidR="005E4A26">
              <w:rPr>
                <w:i/>
                <w:sz w:val="20"/>
                <w:szCs w:val="20"/>
              </w:rPr>
              <w:t xml:space="preserve"> к </w:t>
            </w:r>
            <w:r>
              <w:rPr>
                <w:i/>
                <w:sz w:val="20"/>
                <w:szCs w:val="20"/>
              </w:rPr>
              <w:t>2014</w:t>
            </w:r>
          </w:p>
        </w:tc>
      </w:tr>
      <w:tr w:rsidR="004E327D" w:rsidRPr="004E327D" w:rsidTr="005B4271">
        <w:trPr>
          <w:trHeight w:val="283"/>
        </w:trPr>
        <w:tc>
          <w:tcPr>
            <w:tcW w:w="1531" w:type="dxa"/>
          </w:tcPr>
          <w:p w:rsidR="004E327D" w:rsidRPr="004E327D" w:rsidRDefault="004E327D" w:rsidP="004E327D">
            <w:pPr>
              <w:spacing w:before="20" w:after="20"/>
              <w:jc w:val="center"/>
              <w:rPr>
                <w:i/>
                <w:sz w:val="20"/>
                <w:szCs w:val="20"/>
              </w:rPr>
            </w:pPr>
            <w:r>
              <w:rPr>
                <w:i/>
                <w:sz w:val="20"/>
                <w:szCs w:val="20"/>
              </w:rPr>
              <w:t>1</w:t>
            </w:r>
          </w:p>
        </w:tc>
        <w:tc>
          <w:tcPr>
            <w:tcW w:w="850" w:type="dxa"/>
            <w:vAlign w:val="center"/>
          </w:tcPr>
          <w:p w:rsidR="004E327D" w:rsidRPr="004E327D" w:rsidRDefault="004E327D" w:rsidP="004E327D">
            <w:pPr>
              <w:spacing w:before="20" w:after="20"/>
              <w:jc w:val="center"/>
              <w:rPr>
                <w:i/>
                <w:sz w:val="20"/>
                <w:szCs w:val="20"/>
              </w:rPr>
            </w:pPr>
            <w:r>
              <w:rPr>
                <w:i/>
                <w:sz w:val="20"/>
                <w:szCs w:val="20"/>
              </w:rPr>
              <w:t>2</w:t>
            </w:r>
          </w:p>
        </w:tc>
        <w:tc>
          <w:tcPr>
            <w:tcW w:w="907" w:type="dxa"/>
            <w:vAlign w:val="center"/>
          </w:tcPr>
          <w:p w:rsidR="004E327D" w:rsidRPr="004E327D" w:rsidRDefault="004E327D" w:rsidP="004E327D">
            <w:pPr>
              <w:spacing w:before="20" w:after="20"/>
              <w:jc w:val="center"/>
              <w:rPr>
                <w:i/>
                <w:sz w:val="20"/>
                <w:szCs w:val="20"/>
              </w:rPr>
            </w:pPr>
            <w:r>
              <w:rPr>
                <w:i/>
                <w:sz w:val="20"/>
                <w:szCs w:val="20"/>
              </w:rPr>
              <w:t>3</w:t>
            </w:r>
          </w:p>
        </w:tc>
        <w:tc>
          <w:tcPr>
            <w:tcW w:w="908" w:type="dxa"/>
            <w:vAlign w:val="center"/>
          </w:tcPr>
          <w:p w:rsidR="004E327D" w:rsidRPr="004E327D" w:rsidRDefault="004E327D" w:rsidP="004E327D">
            <w:pPr>
              <w:spacing w:before="20" w:after="20"/>
              <w:jc w:val="center"/>
              <w:rPr>
                <w:i/>
                <w:sz w:val="20"/>
                <w:szCs w:val="20"/>
              </w:rPr>
            </w:pPr>
            <w:r>
              <w:rPr>
                <w:i/>
                <w:sz w:val="20"/>
                <w:szCs w:val="20"/>
              </w:rPr>
              <w:t>4</w:t>
            </w:r>
          </w:p>
        </w:tc>
        <w:tc>
          <w:tcPr>
            <w:tcW w:w="794" w:type="dxa"/>
            <w:vAlign w:val="center"/>
          </w:tcPr>
          <w:p w:rsidR="004E327D" w:rsidRPr="004E327D" w:rsidRDefault="004E327D" w:rsidP="004E327D">
            <w:pPr>
              <w:spacing w:before="20" w:after="20"/>
              <w:jc w:val="center"/>
              <w:rPr>
                <w:i/>
                <w:sz w:val="20"/>
                <w:szCs w:val="20"/>
              </w:rPr>
            </w:pPr>
            <w:r>
              <w:rPr>
                <w:i/>
                <w:sz w:val="20"/>
                <w:szCs w:val="20"/>
              </w:rPr>
              <w:t>5</w:t>
            </w:r>
          </w:p>
        </w:tc>
        <w:tc>
          <w:tcPr>
            <w:tcW w:w="794" w:type="dxa"/>
            <w:vAlign w:val="center"/>
          </w:tcPr>
          <w:p w:rsidR="004E327D" w:rsidRPr="004E327D" w:rsidRDefault="004E327D" w:rsidP="004E327D">
            <w:pPr>
              <w:spacing w:before="20" w:after="20"/>
              <w:jc w:val="center"/>
              <w:rPr>
                <w:i/>
                <w:sz w:val="20"/>
                <w:szCs w:val="20"/>
              </w:rPr>
            </w:pPr>
            <w:r>
              <w:rPr>
                <w:i/>
                <w:sz w:val="20"/>
                <w:szCs w:val="20"/>
              </w:rPr>
              <w:t>6</w:t>
            </w:r>
          </w:p>
        </w:tc>
        <w:tc>
          <w:tcPr>
            <w:tcW w:w="794" w:type="dxa"/>
            <w:vAlign w:val="center"/>
          </w:tcPr>
          <w:p w:rsidR="004E327D" w:rsidRPr="004E327D" w:rsidRDefault="004E327D" w:rsidP="004E327D">
            <w:pPr>
              <w:spacing w:before="20" w:after="20"/>
              <w:jc w:val="center"/>
              <w:rPr>
                <w:i/>
                <w:sz w:val="20"/>
                <w:szCs w:val="20"/>
              </w:rPr>
            </w:pPr>
            <w:r>
              <w:rPr>
                <w:i/>
                <w:sz w:val="20"/>
                <w:szCs w:val="20"/>
              </w:rPr>
              <w:t>7</w:t>
            </w:r>
          </w:p>
        </w:tc>
        <w:tc>
          <w:tcPr>
            <w:tcW w:w="1531" w:type="dxa"/>
            <w:vAlign w:val="center"/>
          </w:tcPr>
          <w:p w:rsidR="004E327D" w:rsidRPr="004E327D" w:rsidRDefault="004E327D" w:rsidP="004E327D">
            <w:pPr>
              <w:spacing w:before="20" w:after="20"/>
              <w:jc w:val="center"/>
              <w:rPr>
                <w:i/>
                <w:spacing w:val="-2"/>
                <w:sz w:val="20"/>
                <w:szCs w:val="20"/>
              </w:rPr>
            </w:pPr>
            <w:r>
              <w:rPr>
                <w:i/>
                <w:spacing w:val="-2"/>
                <w:sz w:val="20"/>
                <w:szCs w:val="20"/>
              </w:rPr>
              <w:t>8</w:t>
            </w:r>
          </w:p>
        </w:tc>
        <w:tc>
          <w:tcPr>
            <w:tcW w:w="1474" w:type="dxa"/>
            <w:vAlign w:val="center"/>
          </w:tcPr>
          <w:p w:rsidR="004E327D" w:rsidRPr="004E327D" w:rsidRDefault="004E327D" w:rsidP="004E327D">
            <w:pPr>
              <w:spacing w:before="20" w:after="20"/>
              <w:jc w:val="center"/>
              <w:rPr>
                <w:i/>
                <w:spacing w:val="-2"/>
                <w:sz w:val="20"/>
                <w:szCs w:val="20"/>
              </w:rPr>
            </w:pPr>
            <w:r>
              <w:rPr>
                <w:i/>
                <w:spacing w:val="-2"/>
                <w:sz w:val="20"/>
                <w:szCs w:val="20"/>
              </w:rPr>
              <w:t>9</w:t>
            </w:r>
          </w:p>
        </w:tc>
      </w:tr>
      <w:tr w:rsidR="003A58A3" w:rsidRPr="0029403D" w:rsidTr="003A58A3">
        <w:trPr>
          <w:trHeight w:val="283"/>
        </w:trPr>
        <w:tc>
          <w:tcPr>
            <w:tcW w:w="1531" w:type="dxa"/>
          </w:tcPr>
          <w:p w:rsidR="003A58A3" w:rsidRPr="00037D1B" w:rsidRDefault="003A58A3" w:rsidP="00334E8D">
            <w:pPr>
              <w:spacing w:before="120"/>
              <w:rPr>
                <w:sz w:val="22"/>
                <w:szCs w:val="22"/>
              </w:rPr>
            </w:pPr>
            <w:r w:rsidRPr="00037D1B">
              <w:rPr>
                <w:sz w:val="22"/>
                <w:szCs w:val="22"/>
              </w:rPr>
              <w:t>Дотации</w:t>
            </w:r>
          </w:p>
        </w:tc>
        <w:tc>
          <w:tcPr>
            <w:tcW w:w="850" w:type="dxa"/>
            <w:vAlign w:val="center"/>
          </w:tcPr>
          <w:p w:rsidR="003A58A3" w:rsidRPr="00037D1B" w:rsidRDefault="003A58A3" w:rsidP="00334E8D">
            <w:pPr>
              <w:spacing w:before="40" w:after="40"/>
              <w:jc w:val="center"/>
              <w:rPr>
                <w:sz w:val="22"/>
                <w:szCs w:val="22"/>
              </w:rPr>
            </w:pPr>
            <w:r>
              <w:rPr>
                <w:sz w:val="22"/>
                <w:szCs w:val="22"/>
              </w:rPr>
              <w:t>6403,6</w:t>
            </w:r>
          </w:p>
        </w:tc>
        <w:tc>
          <w:tcPr>
            <w:tcW w:w="907" w:type="dxa"/>
            <w:vAlign w:val="center"/>
          </w:tcPr>
          <w:p w:rsidR="003A58A3" w:rsidRPr="00037D1B" w:rsidRDefault="003A58A3" w:rsidP="00334E8D">
            <w:pPr>
              <w:spacing w:before="40" w:after="40"/>
              <w:jc w:val="center"/>
              <w:rPr>
                <w:sz w:val="22"/>
                <w:szCs w:val="22"/>
              </w:rPr>
            </w:pPr>
            <w:r>
              <w:rPr>
                <w:sz w:val="22"/>
                <w:szCs w:val="22"/>
              </w:rPr>
              <w:t>8516,0</w:t>
            </w:r>
          </w:p>
        </w:tc>
        <w:tc>
          <w:tcPr>
            <w:tcW w:w="908" w:type="dxa"/>
            <w:vAlign w:val="center"/>
          </w:tcPr>
          <w:p w:rsidR="003A58A3" w:rsidRPr="00037D1B" w:rsidRDefault="00334E8D" w:rsidP="00334E8D">
            <w:pPr>
              <w:spacing w:before="40" w:after="40"/>
              <w:jc w:val="center"/>
              <w:rPr>
                <w:sz w:val="22"/>
                <w:szCs w:val="22"/>
              </w:rPr>
            </w:pPr>
            <w:r>
              <w:rPr>
                <w:sz w:val="22"/>
                <w:szCs w:val="22"/>
              </w:rPr>
              <w:t>7401,1</w:t>
            </w:r>
          </w:p>
        </w:tc>
        <w:tc>
          <w:tcPr>
            <w:tcW w:w="794" w:type="dxa"/>
            <w:vAlign w:val="center"/>
          </w:tcPr>
          <w:p w:rsidR="003A58A3" w:rsidRPr="00037D1B" w:rsidRDefault="003A58A3" w:rsidP="00334E8D">
            <w:pPr>
              <w:spacing w:before="40" w:after="40"/>
              <w:jc w:val="center"/>
              <w:rPr>
                <w:sz w:val="22"/>
                <w:szCs w:val="22"/>
              </w:rPr>
            </w:pPr>
            <w:r>
              <w:rPr>
                <w:sz w:val="22"/>
                <w:szCs w:val="22"/>
              </w:rPr>
              <w:t>64,6%</w:t>
            </w:r>
          </w:p>
        </w:tc>
        <w:tc>
          <w:tcPr>
            <w:tcW w:w="794" w:type="dxa"/>
            <w:vAlign w:val="center"/>
          </w:tcPr>
          <w:p w:rsidR="003A58A3" w:rsidRPr="00037D1B" w:rsidRDefault="003A58A3" w:rsidP="00334E8D">
            <w:pPr>
              <w:spacing w:before="40" w:after="40"/>
              <w:jc w:val="center"/>
              <w:rPr>
                <w:sz w:val="22"/>
                <w:szCs w:val="22"/>
              </w:rPr>
            </w:pPr>
            <w:r>
              <w:rPr>
                <w:sz w:val="22"/>
                <w:szCs w:val="22"/>
              </w:rPr>
              <w:t>57,1%</w:t>
            </w:r>
          </w:p>
        </w:tc>
        <w:tc>
          <w:tcPr>
            <w:tcW w:w="794" w:type="dxa"/>
            <w:vAlign w:val="center"/>
          </w:tcPr>
          <w:p w:rsidR="003A58A3" w:rsidRPr="00037D1B" w:rsidRDefault="00334E8D" w:rsidP="00334E8D">
            <w:pPr>
              <w:spacing w:before="40" w:after="40"/>
              <w:jc w:val="center"/>
              <w:rPr>
                <w:sz w:val="22"/>
                <w:szCs w:val="22"/>
              </w:rPr>
            </w:pPr>
            <w:r>
              <w:rPr>
                <w:sz w:val="22"/>
                <w:szCs w:val="22"/>
              </w:rPr>
              <w:t>50,6%</w:t>
            </w:r>
          </w:p>
        </w:tc>
        <w:tc>
          <w:tcPr>
            <w:tcW w:w="1531" w:type="dxa"/>
            <w:vAlign w:val="center"/>
          </w:tcPr>
          <w:p w:rsidR="003A58A3" w:rsidRPr="008047AB" w:rsidRDefault="003A58A3" w:rsidP="00334E8D">
            <w:pPr>
              <w:spacing w:before="40" w:after="40"/>
              <w:jc w:val="center"/>
              <w:rPr>
                <w:spacing w:val="-2"/>
                <w:sz w:val="21"/>
                <w:szCs w:val="21"/>
              </w:rPr>
            </w:pPr>
            <w:r w:rsidRPr="008047AB">
              <w:rPr>
                <w:spacing w:val="-2"/>
                <w:sz w:val="21"/>
                <w:szCs w:val="21"/>
              </w:rPr>
              <w:t>2112,4 / 33,0%</w:t>
            </w:r>
          </w:p>
        </w:tc>
        <w:tc>
          <w:tcPr>
            <w:tcW w:w="1474" w:type="dxa"/>
            <w:vAlign w:val="center"/>
          </w:tcPr>
          <w:p w:rsidR="00334E8D" w:rsidRDefault="00334E8D" w:rsidP="00334E8D">
            <w:pPr>
              <w:jc w:val="center"/>
              <w:rPr>
                <w:spacing w:val="-2"/>
                <w:sz w:val="21"/>
                <w:szCs w:val="21"/>
              </w:rPr>
            </w:pPr>
            <w:r>
              <w:rPr>
                <w:spacing w:val="-2"/>
                <w:sz w:val="21"/>
                <w:szCs w:val="21"/>
              </w:rPr>
              <w:t>-1114,9</w:t>
            </w:r>
            <w:r w:rsidR="003A58A3" w:rsidRPr="008047AB">
              <w:rPr>
                <w:spacing w:val="-2"/>
                <w:sz w:val="21"/>
                <w:szCs w:val="21"/>
              </w:rPr>
              <w:t xml:space="preserve"> / </w:t>
            </w:r>
          </w:p>
          <w:p w:rsidR="003A58A3" w:rsidRPr="008047AB" w:rsidRDefault="00334E8D" w:rsidP="00334E8D">
            <w:pPr>
              <w:jc w:val="center"/>
              <w:rPr>
                <w:spacing w:val="-2"/>
                <w:sz w:val="21"/>
                <w:szCs w:val="21"/>
              </w:rPr>
            </w:pPr>
            <w:r>
              <w:rPr>
                <w:spacing w:val="-2"/>
                <w:sz w:val="21"/>
                <w:szCs w:val="21"/>
              </w:rPr>
              <w:t>-13,1</w:t>
            </w:r>
            <w:r w:rsidR="003A58A3" w:rsidRPr="008047AB">
              <w:rPr>
                <w:spacing w:val="-2"/>
                <w:sz w:val="21"/>
                <w:szCs w:val="21"/>
              </w:rPr>
              <w:t>%</w:t>
            </w:r>
          </w:p>
        </w:tc>
      </w:tr>
      <w:tr w:rsidR="003A58A3" w:rsidRPr="0029403D" w:rsidTr="003A58A3">
        <w:trPr>
          <w:trHeight w:val="283"/>
        </w:trPr>
        <w:tc>
          <w:tcPr>
            <w:tcW w:w="1531" w:type="dxa"/>
          </w:tcPr>
          <w:p w:rsidR="003A58A3" w:rsidRPr="00037D1B" w:rsidRDefault="003A58A3" w:rsidP="00334E8D">
            <w:pPr>
              <w:spacing w:before="120"/>
              <w:rPr>
                <w:sz w:val="22"/>
                <w:szCs w:val="22"/>
              </w:rPr>
            </w:pPr>
            <w:r w:rsidRPr="00037D1B">
              <w:rPr>
                <w:sz w:val="22"/>
                <w:szCs w:val="22"/>
              </w:rPr>
              <w:t>Субсидии</w:t>
            </w:r>
          </w:p>
        </w:tc>
        <w:tc>
          <w:tcPr>
            <w:tcW w:w="850" w:type="dxa"/>
            <w:vAlign w:val="center"/>
          </w:tcPr>
          <w:p w:rsidR="003A58A3" w:rsidRPr="00037D1B" w:rsidRDefault="003A58A3" w:rsidP="00334E8D">
            <w:pPr>
              <w:spacing w:before="40" w:after="40"/>
              <w:jc w:val="center"/>
              <w:rPr>
                <w:sz w:val="22"/>
                <w:szCs w:val="22"/>
              </w:rPr>
            </w:pPr>
            <w:r>
              <w:rPr>
                <w:sz w:val="22"/>
                <w:szCs w:val="22"/>
              </w:rPr>
              <w:t>3271,3</w:t>
            </w:r>
          </w:p>
        </w:tc>
        <w:tc>
          <w:tcPr>
            <w:tcW w:w="907" w:type="dxa"/>
            <w:vAlign w:val="center"/>
          </w:tcPr>
          <w:p w:rsidR="003A58A3" w:rsidRPr="00037D1B" w:rsidRDefault="003A58A3" w:rsidP="00334E8D">
            <w:pPr>
              <w:spacing w:before="40" w:after="40"/>
              <w:jc w:val="center"/>
              <w:rPr>
                <w:sz w:val="22"/>
                <w:szCs w:val="22"/>
              </w:rPr>
            </w:pPr>
            <w:r>
              <w:rPr>
                <w:sz w:val="22"/>
                <w:szCs w:val="22"/>
              </w:rPr>
              <w:t>3999,4</w:t>
            </w:r>
          </w:p>
        </w:tc>
        <w:tc>
          <w:tcPr>
            <w:tcW w:w="908" w:type="dxa"/>
            <w:vAlign w:val="center"/>
          </w:tcPr>
          <w:p w:rsidR="003A58A3" w:rsidRPr="00037D1B" w:rsidRDefault="00334E8D" w:rsidP="00334E8D">
            <w:pPr>
              <w:spacing w:before="40" w:after="40"/>
              <w:jc w:val="center"/>
              <w:rPr>
                <w:sz w:val="22"/>
                <w:szCs w:val="22"/>
              </w:rPr>
            </w:pPr>
            <w:r>
              <w:rPr>
                <w:sz w:val="22"/>
                <w:szCs w:val="22"/>
              </w:rPr>
              <w:t>3402,5</w:t>
            </w:r>
          </w:p>
        </w:tc>
        <w:tc>
          <w:tcPr>
            <w:tcW w:w="794" w:type="dxa"/>
            <w:vAlign w:val="center"/>
          </w:tcPr>
          <w:p w:rsidR="003A58A3" w:rsidRPr="00037D1B" w:rsidRDefault="003A58A3" w:rsidP="00334E8D">
            <w:pPr>
              <w:spacing w:before="40" w:after="40"/>
              <w:jc w:val="center"/>
              <w:rPr>
                <w:sz w:val="22"/>
                <w:szCs w:val="22"/>
              </w:rPr>
            </w:pPr>
            <w:r>
              <w:rPr>
                <w:sz w:val="22"/>
                <w:szCs w:val="22"/>
              </w:rPr>
              <w:t>33,0%</w:t>
            </w:r>
          </w:p>
        </w:tc>
        <w:tc>
          <w:tcPr>
            <w:tcW w:w="794" w:type="dxa"/>
            <w:vAlign w:val="center"/>
          </w:tcPr>
          <w:p w:rsidR="003A58A3" w:rsidRPr="00037D1B" w:rsidRDefault="003A58A3" w:rsidP="00334E8D">
            <w:pPr>
              <w:spacing w:before="40" w:after="40"/>
              <w:jc w:val="center"/>
              <w:rPr>
                <w:sz w:val="22"/>
                <w:szCs w:val="22"/>
              </w:rPr>
            </w:pPr>
            <w:r>
              <w:rPr>
                <w:sz w:val="22"/>
                <w:szCs w:val="22"/>
              </w:rPr>
              <w:t>26,8%</w:t>
            </w:r>
          </w:p>
        </w:tc>
        <w:tc>
          <w:tcPr>
            <w:tcW w:w="794" w:type="dxa"/>
            <w:vAlign w:val="center"/>
          </w:tcPr>
          <w:p w:rsidR="003A58A3" w:rsidRPr="00037D1B" w:rsidRDefault="00334E8D" w:rsidP="00334E8D">
            <w:pPr>
              <w:spacing w:before="40" w:after="40"/>
              <w:jc w:val="center"/>
              <w:rPr>
                <w:sz w:val="22"/>
                <w:szCs w:val="22"/>
              </w:rPr>
            </w:pPr>
            <w:r>
              <w:rPr>
                <w:sz w:val="22"/>
                <w:szCs w:val="22"/>
              </w:rPr>
              <w:t>23,3%</w:t>
            </w:r>
          </w:p>
        </w:tc>
        <w:tc>
          <w:tcPr>
            <w:tcW w:w="1531" w:type="dxa"/>
            <w:vAlign w:val="center"/>
          </w:tcPr>
          <w:p w:rsidR="003A58A3" w:rsidRPr="008047AB" w:rsidRDefault="003A58A3" w:rsidP="00334E8D">
            <w:pPr>
              <w:spacing w:before="40" w:after="40"/>
              <w:jc w:val="center"/>
              <w:rPr>
                <w:spacing w:val="-2"/>
                <w:sz w:val="22"/>
                <w:szCs w:val="22"/>
              </w:rPr>
            </w:pPr>
            <w:r w:rsidRPr="008047AB">
              <w:rPr>
                <w:spacing w:val="-2"/>
                <w:sz w:val="22"/>
                <w:szCs w:val="22"/>
              </w:rPr>
              <w:t>728,1 / 22,3%</w:t>
            </w:r>
          </w:p>
        </w:tc>
        <w:tc>
          <w:tcPr>
            <w:tcW w:w="1474" w:type="dxa"/>
            <w:vAlign w:val="center"/>
          </w:tcPr>
          <w:p w:rsidR="00334E8D" w:rsidRDefault="00334E8D" w:rsidP="00334E8D">
            <w:pPr>
              <w:jc w:val="center"/>
              <w:rPr>
                <w:spacing w:val="-2"/>
                <w:sz w:val="22"/>
                <w:szCs w:val="22"/>
              </w:rPr>
            </w:pPr>
            <w:r>
              <w:rPr>
                <w:spacing w:val="-2"/>
                <w:sz w:val="22"/>
                <w:szCs w:val="22"/>
              </w:rPr>
              <w:t>-596,9</w:t>
            </w:r>
            <w:r w:rsidR="003A58A3" w:rsidRPr="008047AB">
              <w:rPr>
                <w:spacing w:val="-2"/>
                <w:sz w:val="22"/>
                <w:szCs w:val="22"/>
              </w:rPr>
              <w:t xml:space="preserve"> /</w:t>
            </w:r>
          </w:p>
          <w:p w:rsidR="003A58A3" w:rsidRPr="008047AB" w:rsidRDefault="00334E8D" w:rsidP="00334E8D">
            <w:pPr>
              <w:jc w:val="center"/>
              <w:rPr>
                <w:spacing w:val="-2"/>
                <w:sz w:val="22"/>
                <w:szCs w:val="22"/>
              </w:rPr>
            </w:pPr>
            <w:r>
              <w:rPr>
                <w:spacing w:val="-2"/>
                <w:sz w:val="22"/>
                <w:szCs w:val="22"/>
              </w:rPr>
              <w:t>-14,9</w:t>
            </w:r>
            <w:r w:rsidR="003A58A3" w:rsidRPr="008047AB">
              <w:rPr>
                <w:spacing w:val="-2"/>
                <w:sz w:val="22"/>
                <w:szCs w:val="22"/>
              </w:rPr>
              <w:t>%</w:t>
            </w:r>
          </w:p>
        </w:tc>
      </w:tr>
      <w:tr w:rsidR="003A58A3" w:rsidRPr="0029403D" w:rsidTr="003A58A3">
        <w:trPr>
          <w:trHeight w:val="283"/>
        </w:trPr>
        <w:tc>
          <w:tcPr>
            <w:tcW w:w="1531" w:type="dxa"/>
          </w:tcPr>
          <w:p w:rsidR="003A58A3" w:rsidRPr="00037D1B" w:rsidRDefault="003A58A3" w:rsidP="00334E8D">
            <w:pPr>
              <w:spacing w:before="40" w:after="40"/>
              <w:rPr>
                <w:sz w:val="22"/>
                <w:szCs w:val="22"/>
              </w:rPr>
            </w:pPr>
            <w:r w:rsidRPr="00037D1B">
              <w:rPr>
                <w:sz w:val="22"/>
                <w:szCs w:val="22"/>
              </w:rPr>
              <w:t>Субвенции</w:t>
            </w:r>
          </w:p>
        </w:tc>
        <w:tc>
          <w:tcPr>
            <w:tcW w:w="850" w:type="dxa"/>
            <w:vAlign w:val="center"/>
          </w:tcPr>
          <w:p w:rsidR="003A58A3" w:rsidRPr="00037D1B" w:rsidRDefault="003A58A3" w:rsidP="00334E8D">
            <w:pPr>
              <w:spacing w:before="40" w:after="40"/>
              <w:jc w:val="center"/>
              <w:rPr>
                <w:sz w:val="22"/>
                <w:szCs w:val="22"/>
              </w:rPr>
            </w:pPr>
            <w:r>
              <w:rPr>
                <w:sz w:val="22"/>
                <w:szCs w:val="22"/>
              </w:rPr>
              <w:t>66,1</w:t>
            </w:r>
          </w:p>
        </w:tc>
        <w:tc>
          <w:tcPr>
            <w:tcW w:w="907" w:type="dxa"/>
            <w:vAlign w:val="center"/>
          </w:tcPr>
          <w:p w:rsidR="003A58A3" w:rsidRPr="00037D1B" w:rsidRDefault="003A58A3" w:rsidP="00334E8D">
            <w:pPr>
              <w:spacing w:before="40" w:after="40"/>
              <w:jc w:val="center"/>
              <w:rPr>
                <w:sz w:val="22"/>
                <w:szCs w:val="22"/>
              </w:rPr>
            </w:pPr>
            <w:r>
              <w:rPr>
                <w:sz w:val="22"/>
                <w:szCs w:val="22"/>
              </w:rPr>
              <w:t>72,8</w:t>
            </w:r>
          </w:p>
        </w:tc>
        <w:tc>
          <w:tcPr>
            <w:tcW w:w="908" w:type="dxa"/>
            <w:vAlign w:val="center"/>
          </w:tcPr>
          <w:p w:rsidR="003A58A3" w:rsidRPr="00037D1B" w:rsidRDefault="00334E8D" w:rsidP="00334E8D">
            <w:pPr>
              <w:spacing w:before="40" w:after="40"/>
              <w:jc w:val="center"/>
              <w:rPr>
                <w:sz w:val="22"/>
                <w:szCs w:val="22"/>
              </w:rPr>
            </w:pPr>
            <w:r>
              <w:rPr>
                <w:sz w:val="22"/>
                <w:szCs w:val="22"/>
              </w:rPr>
              <w:t>77,5</w:t>
            </w:r>
          </w:p>
        </w:tc>
        <w:tc>
          <w:tcPr>
            <w:tcW w:w="794" w:type="dxa"/>
            <w:vAlign w:val="center"/>
          </w:tcPr>
          <w:p w:rsidR="003A58A3" w:rsidRPr="00037D1B" w:rsidRDefault="003A58A3" w:rsidP="00334E8D">
            <w:pPr>
              <w:spacing w:before="40" w:after="40"/>
              <w:jc w:val="center"/>
              <w:rPr>
                <w:sz w:val="22"/>
                <w:szCs w:val="22"/>
              </w:rPr>
            </w:pPr>
            <w:r>
              <w:rPr>
                <w:sz w:val="22"/>
                <w:szCs w:val="22"/>
              </w:rPr>
              <w:t>0,7%</w:t>
            </w:r>
          </w:p>
        </w:tc>
        <w:tc>
          <w:tcPr>
            <w:tcW w:w="794" w:type="dxa"/>
            <w:vAlign w:val="center"/>
          </w:tcPr>
          <w:p w:rsidR="003A58A3" w:rsidRPr="00037D1B" w:rsidRDefault="003A58A3" w:rsidP="00334E8D">
            <w:pPr>
              <w:spacing w:before="40" w:after="40"/>
              <w:jc w:val="center"/>
              <w:rPr>
                <w:sz w:val="22"/>
                <w:szCs w:val="22"/>
              </w:rPr>
            </w:pPr>
            <w:r>
              <w:rPr>
                <w:sz w:val="22"/>
                <w:szCs w:val="22"/>
              </w:rPr>
              <w:t>0,5%</w:t>
            </w:r>
          </w:p>
        </w:tc>
        <w:tc>
          <w:tcPr>
            <w:tcW w:w="794" w:type="dxa"/>
            <w:vAlign w:val="center"/>
          </w:tcPr>
          <w:p w:rsidR="003A58A3" w:rsidRPr="00037D1B" w:rsidRDefault="00334E8D" w:rsidP="00334E8D">
            <w:pPr>
              <w:spacing w:before="40" w:after="40"/>
              <w:jc w:val="center"/>
              <w:rPr>
                <w:sz w:val="22"/>
                <w:szCs w:val="22"/>
              </w:rPr>
            </w:pPr>
            <w:r>
              <w:rPr>
                <w:sz w:val="22"/>
                <w:szCs w:val="22"/>
              </w:rPr>
              <w:t>0,5%</w:t>
            </w:r>
          </w:p>
        </w:tc>
        <w:tc>
          <w:tcPr>
            <w:tcW w:w="1531" w:type="dxa"/>
            <w:vAlign w:val="center"/>
          </w:tcPr>
          <w:p w:rsidR="003A58A3" w:rsidRPr="008047AB" w:rsidRDefault="003A58A3" w:rsidP="00334E8D">
            <w:pPr>
              <w:spacing w:before="40" w:after="40"/>
              <w:jc w:val="center"/>
              <w:rPr>
                <w:spacing w:val="-2"/>
                <w:sz w:val="22"/>
                <w:szCs w:val="22"/>
              </w:rPr>
            </w:pPr>
            <w:r w:rsidRPr="008047AB">
              <w:rPr>
                <w:spacing w:val="-2"/>
                <w:sz w:val="22"/>
                <w:szCs w:val="22"/>
              </w:rPr>
              <w:t>6,7 / 10,1%</w:t>
            </w:r>
          </w:p>
        </w:tc>
        <w:tc>
          <w:tcPr>
            <w:tcW w:w="1474" w:type="dxa"/>
            <w:vAlign w:val="center"/>
          </w:tcPr>
          <w:p w:rsidR="003A58A3" w:rsidRPr="008047AB" w:rsidRDefault="00334E8D" w:rsidP="00334E8D">
            <w:pPr>
              <w:spacing w:before="40" w:after="40"/>
              <w:jc w:val="center"/>
              <w:rPr>
                <w:spacing w:val="-2"/>
                <w:sz w:val="22"/>
                <w:szCs w:val="22"/>
              </w:rPr>
            </w:pPr>
            <w:r>
              <w:rPr>
                <w:spacing w:val="-2"/>
                <w:sz w:val="22"/>
                <w:szCs w:val="22"/>
              </w:rPr>
              <w:t>4</w:t>
            </w:r>
            <w:r w:rsidR="003A58A3" w:rsidRPr="008047AB">
              <w:rPr>
                <w:spacing w:val="-2"/>
                <w:sz w:val="22"/>
                <w:szCs w:val="22"/>
              </w:rPr>
              <w:t xml:space="preserve">,7 / </w:t>
            </w:r>
            <w:r>
              <w:rPr>
                <w:spacing w:val="-2"/>
                <w:sz w:val="22"/>
                <w:szCs w:val="22"/>
              </w:rPr>
              <w:t>6,5</w:t>
            </w:r>
            <w:r w:rsidR="003A58A3" w:rsidRPr="008047AB">
              <w:rPr>
                <w:spacing w:val="-2"/>
                <w:sz w:val="22"/>
                <w:szCs w:val="22"/>
              </w:rPr>
              <w:t>%</w:t>
            </w:r>
          </w:p>
        </w:tc>
      </w:tr>
    </w:tbl>
    <w:p w:rsidR="004E327D" w:rsidRDefault="004E327D">
      <w:r>
        <w:br w:type="page"/>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850"/>
        <w:gridCol w:w="907"/>
        <w:gridCol w:w="908"/>
        <w:gridCol w:w="794"/>
        <w:gridCol w:w="794"/>
        <w:gridCol w:w="794"/>
        <w:gridCol w:w="1531"/>
        <w:gridCol w:w="1474"/>
      </w:tblGrid>
      <w:tr w:rsidR="004E327D" w:rsidRPr="004E327D" w:rsidTr="005B4271">
        <w:trPr>
          <w:trHeight w:val="283"/>
        </w:trPr>
        <w:tc>
          <w:tcPr>
            <w:tcW w:w="1531" w:type="dxa"/>
          </w:tcPr>
          <w:p w:rsidR="004E327D" w:rsidRPr="004E327D" w:rsidRDefault="004E327D" w:rsidP="005B4271">
            <w:pPr>
              <w:spacing w:before="20" w:after="20"/>
              <w:jc w:val="center"/>
              <w:rPr>
                <w:i/>
                <w:sz w:val="20"/>
                <w:szCs w:val="20"/>
              </w:rPr>
            </w:pPr>
            <w:r>
              <w:rPr>
                <w:i/>
                <w:sz w:val="20"/>
                <w:szCs w:val="20"/>
              </w:rPr>
              <w:lastRenderedPageBreak/>
              <w:t>1</w:t>
            </w:r>
          </w:p>
        </w:tc>
        <w:tc>
          <w:tcPr>
            <w:tcW w:w="850" w:type="dxa"/>
            <w:vAlign w:val="center"/>
          </w:tcPr>
          <w:p w:rsidR="004E327D" w:rsidRPr="004E327D" w:rsidRDefault="004E327D" w:rsidP="005B4271">
            <w:pPr>
              <w:spacing w:before="20" w:after="20"/>
              <w:jc w:val="center"/>
              <w:rPr>
                <w:i/>
                <w:sz w:val="20"/>
                <w:szCs w:val="20"/>
              </w:rPr>
            </w:pPr>
            <w:r>
              <w:rPr>
                <w:i/>
                <w:sz w:val="20"/>
                <w:szCs w:val="20"/>
              </w:rPr>
              <w:t>2</w:t>
            </w:r>
          </w:p>
        </w:tc>
        <w:tc>
          <w:tcPr>
            <w:tcW w:w="907" w:type="dxa"/>
            <w:vAlign w:val="center"/>
          </w:tcPr>
          <w:p w:rsidR="004E327D" w:rsidRPr="004E327D" w:rsidRDefault="004E327D" w:rsidP="005B4271">
            <w:pPr>
              <w:spacing w:before="20" w:after="20"/>
              <w:jc w:val="center"/>
              <w:rPr>
                <w:i/>
                <w:sz w:val="20"/>
                <w:szCs w:val="20"/>
              </w:rPr>
            </w:pPr>
            <w:r>
              <w:rPr>
                <w:i/>
                <w:sz w:val="20"/>
                <w:szCs w:val="20"/>
              </w:rPr>
              <w:t>3</w:t>
            </w:r>
          </w:p>
        </w:tc>
        <w:tc>
          <w:tcPr>
            <w:tcW w:w="908" w:type="dxa"/>
            <w:vAlign w:val="center"/>
          </w:tcPr>
          <w:p w:rsidR="004E327D" w:rsidRPr="004E327D" w:rsidRDefault="004E327D" w:rsidP="005B4271">
            <w:pPr>
              <w:spacing w:before="20" w:after="20"/>
              <w:jc w:val="center"/>
              <w:rPr>
                <w:i/>
                <w:sz w:val="20"/>
                <w:szCs w:val="20"/>
              </w:rPr>
            </w:pPr>
            <w:r>
              <w:rPr>
                <w:i/>
                <w:sz w:val="20"/>
                <w:szCs w:val="20"/>
              </w:rPr>
              <w:t>4</w:t>
            </w:r>
          </w:p>
        </w:tc>
        <w:tc>
          <w:tcPr>
            <w:tcW w:w="794" w:type="dxa"/>
            <w:vAlign w:val="center"/>
          </w:tcPr>
          <w:p w:rsidR="004E327D" w:rsidRPr="004E327D" w:rsidRDefault="004E327D" w:rsidP="005B4271">
            <w:pPr>
              <w:spacing w:before="20" w:after="20"/>
              <w:jc w:val="center"/>
              <w:rPr>
                <w:i/>
                <w:sz w:val="20"/>
                <w:szCs w:val="20"/>
              </w:rPr>
            </w:pPr>
            <w:r>
              <w:rPr>
                <w:i/>
                <w:sz w:val="20"/>
                <w:szCs w:val="20"/>
              </w:rPr>
              <w:t>5</w:t>
            </w:r>
          </w:p>
        </w:tc>
        <w:tc>
          <w:tcPr>
            <w:tcW w:w="794" w:type="dxa"/>
            <w:vAlign w:val="center"/>
          </w:tcPr>
          <w:p w:rsidR="004E327D" w:rsidRPr="004E327D" w:rsidRDefault="004E327D" w:rsidP="005B4271">
            <w:pPr>
              <w:spacing w:before="20" w:after="20"/>
              <w:jc w:val="center"/>
              <w:rPr>
                <w:i/>
                <w:sz w:val="20"/>
                <w:szCs w:val="20"/>
              </w:rPr>
            </w:pPr>
            <w:r>
              <w:rPr>
                <w:i/>
                <w:sz w:val="20"/>
                <w:szCs w:val="20"/>
              </w:rPr>
              <w:t>6</w:t>
            </w:r>
          </w:p>
        </w:tc>
        <w:tc>
          <w:tcPr>
            <w:tcW w:w="794" w:type="dxa"/>
            <w:vAlign w:val="center"/>
          </w:tcPr>
          <w:p w:rsidR="004E327D" w:rsidRPr="004E327D" w:rsidRDefault="004E327D" w:rsidP="005B4271">
            <w:pPr>
              <w:spacing w:before="20" w:after="20"/>
              <w:jc w:val="center"/>
              <w:rPr>
                <w:i/>
                <w:sz w:val="20"/>
                <w:szCs w:val="20"/>
              </w:rPr>
            </w:pPr>
            <w:r>
              <w:rPr>
                <w:i/>
                <w:sz w:val="20"/>
                <w:szCs w:val="20"/>
              </w:rPr>
              <w:t>7</w:t>
            </w:r>
          </w:p>
        </w:tc>
        <w:tc>
          <w:tcPr>
            <w:tcW w:w="1531" w:type="dxa"/>
            <w:vAlign w:val="center"/>
          </w:tcPr>
          <w:p w:rsidR="004E327D" w:rsidRPr="004E327D" w:rsidRDefault="004E327D" w:rsidP="005B4271">
            <w:pPr>
              <w:spacing w:before="20" w:after="20"/>
              <w:jc w:val="center"/>
              <w:rPr>
                <w:i/>
                <w:spacing w:val="-2"/>
                <w:sz w:val="20"/>
                <w:szCs w:val="20"/>
              </w:rPr>
            </w:pPr>
            <w:r>
              <w:rPr>
                <w:i/>
                <w:spacing w:val="-2"/>
                <w:sz w:val="20"/>
                <w:szCs w:val="20"/>
              </w:rPr>
              <w:t>8</w:t>
            </w:r>
          </w:p>
        </w:tc>
        <w:tc>
          <w:tcPr>
            <w:tcW w:w="1474" w:type="dxa"/>
            <w:vAlign w:val="center"/>
          </w:tcPr>
          <w:p w:rsidR="004E327D" w:rsidRPr="004E327D" w:rsidRDefault="004E327D" w:rsidP="005B4271">
            <w:pPr>
              <w:spacing w:before="20" w:after="20"/>
              <w:jc w:val="center"/>
              <w:rPr>
                <w:i/>
                <w:spacing w:val="-2"/>
                <w:sz w:val="20"/>
                <w:szCs w:val="20"/>
              </w:rPr>
            </w:pPr>
            <w:r>
              <w:rPr>
                <w:i/>
                <w:spacing w:val="-2"/>
                <w:sz w:val="20"/>
                <w:szCs w:val="20"/>
              </w:rPr>
              <w:t>9</w:t>
            </w:r>
          </w:p>
        </w:tc>
      </w:tr>
      <w:tr w:rsidR="003A58A3" w:rsidRPr="0029403D" w:rsidTr="003A58A3">
        <w:trPr>
          <w:trHeight w:val="283"/>
        </w:trPr>
        <w:tc>
          <w:tcPr>
            <w:tcW w:w="1531" w:type="dxa"/>
          </w:tcPr>
          <w:p w:rsidR="003A58A3" w:rsidRPr="00037D1B" w:rsidRDefault="003A58A3" w:rsidP="00C85818">
            <w:pPr>
              <w:spacing w:before="120"/>
              <w:rPr>
                <w:sz w:val="22"/>
                <w:szCs w:val="22"/>
              </w:rPr>
            </w:pPr>
            <w:r>
              <w:rPr>
                <w:sz w:val="22"/>
                <w:szCs w:val="22"/>
              </w:rPr>
              <w:t>ИМБТ</w:t>
            </w:r>
          </w:p>
        </w:tc>
        <w:tc>
          <w:tcPr>
            <w:tcW w:w="850" w:type="dxa"/>
            <w:vAlign w:val="center"/>
          </w:tcPr>
          <w:p w:rsidR="003A58A3" w:rsidRPr="00037D1B" w:rsidRDefault="003A58A3" w:rsidP="00334E8D">
            <w:pPr>
              <w:jc w:val="center"/>
              <w:rPr>
                <w:sz w:val="22"/>
                <w:szCs w:val="22"/>
              </w:rPr>
            </w:pPr>
            <w:r>
              <w:rPr>
                <w:sz w:val="22"/>
                <w:szCs w:val="22"/>
              </w:rPr>
              <w:t>169,1</w:t>
            </w:r>
          </w:p>
        </w:tc>
        <w:tc>
          <w:tcPr>
            <w:tcW w:w="907" w:type="dxa"/>
            <w:vAlign w:val="center"/>
          </w:tcPr>
          <w:p w:rsidR="003A58A3" w:rsidRPr="00037D1B" w:rsidRDefault="003A58A3" w:rsidP="00334E8D">
            <w:pPr>
              <w:jc w:val="center"/>
              <w:rPr>
                <w:sz w:val="22"/>
                <w:szCs w:val="22"/>
              </w:rPr>
            </w:pPr>
            <w:r>
              <w:rPr>
                <w:sz w:val="22"/>
                <w:szCs w:val="22"/>
              </w:rPr>
              <w:t>2334,2</w:t>
            </w:r>
          </w:p>
        </w:tc>
        <w:tc>
          <w:tcPr>
            <w:tcW w:w="908" w:type="dxa"/>
            <w:vAlign w:val="center"/>
          </w:tcPr>
          <w:p w:rsidR="003A58A3" w:rsidRPr="00037D1B" w:rsidRDefault="00334E8D" w:rsidP="00877B5F">
            <w:pPr>
              <w:jc w:val="center"/>
              <w:rPr>
                <w:sz w:val="22"/>
                <w:szCs w:val="22"/>
              </w:rPr>
            </w:pPr>
            <w:r>
              <w:rPr>
                <w:sz w:val="22"/>
                <w:szCs w:val="22"/>
              </w:rPr>
              <w:t>398,1</w:t>
            </w:r>
          </w:p>
        </w:tc>
        <w:tc>
          <w:tcPr>
            <w:tcW w:w="794" w:type="dxa"/>
            <w:vAlign w:val="center"/>
          </w:tcPr>
          <w:p w:rsidR="003A58A3" w:rsidRPr="00037D1B" w:rsidRDefault="003A58A3" w:rsidP="00334E8D">
            <w:pPr>
              <w:jc w:val="center"/>
              <w:rPr>
                <w:sz w:val="22"/>
                <w:szCs w:val="22"/>
              </w:rPr>
            </w:pPr>
            <w:r>
              <w:rPr>
                <w:sz w:val="22"/>
                <w:szCs w:val="22"/>
              </w:rPr>
              <w:t>1,7%</w:t>
            </w:r>
          </w:p>
        </w:tc>
        <w:tc>
          <w:tcPr>
            <w:tcW w:w="794" w:type="dxa"/>
            <w:vAlign w:val="center"/>
          </w:tcPr>
          <w:p w:rsidR="003A58A3" w:rsidRPr="00037D1B" w:rsidRDefault="003A58A3" w:rsidP="00334E8D">
            <w:pPr>
              <w:jc w:val="center"/>
              <w:rPr>
                <w:sz w:val="22"/>
                <w:szCs w:val="22"/>
              </w:rPr>
            </w:pPr>
            <w:r>
              <w:rPr>
                <w:sz w:val="22"/>
                <w:szCs w:val="22"/>
              </w:rPr>
              <w:t>15,6%</w:t>
            </w:r>
          </w:p>
        </w:tc>
        <w:tc>
          <w:tcPr>
            <w:tcW w:w="794" w:type="dxa"/>
            <w:vAlign w:val="center"/>
          </w:tcPr>
          <w:p w:rsidR="003A58A3" w:rsidRPr="00037D1B" w:rsidRDefault="00334E8D" w:rsidP="009F755D">
            <w:pPr>
              <w:jc w:val="center"/>
              <w:rPr>
                <w:sz w:val="22"/>
                <w:szCs w:val="22"/>
              </w:rPr>
            </w:pPr>
            <w:r>
              <w:rPr>
                <w:sz w:val="22"/>
                <w:szCs w:val="22"/>
              </w:rPr>
              <w:t>2,7%</w:t>
            </w:r>
          </w:p>
        </w:tc>
        <w:tc>
          <w:tcPr>
            <w:tcW w:w="1531" w:type="dxa"/>
            <w:vAlign w:val="center"/>
          </w:tcPr>
          <w:p w:rsidR="003A58A3" w:rsidRPr="008047AB" w:rsidRDefault="003A58A3" w:rsidP="00334E8D">
            <w:pPr>
              <w:jc w:val="center"/>
              <w:rPr>
                <w:spacing w:val="-2"/>
                <w:sz w:val="22"/>
                <w:szCs w:val="22"/>
              </w:rPr>
            </w:pPr>
            <w:r w:rsidRPr="008047AB">
              <w:rPr>
                <w:spacing w:val="-2"/>
                <w:sz w:val="22"/>
                <w:szCs w:val="22"/>
              </w:rPr>
              <w:t>2165,1 / 13,8 раза</w:t>
            </w:r>
          </w:p>
        </w:tc>
        <w:tc>
          <w:tcPr>
            <w:tcW w:w="1474" w:type="dxa"/>
            <w:vAlign w:val="center"/>
          </w:tcPr>
          <w:p w:rsidR="00334E8D" w:rsidRDefault="00334E8D" w:rsidP="005C4061">
            <w:pPr>
              <w:jc w:val="center"/>
              <w:rPr>
                <w:spacing w:val="-2"/>
                <w:sz w:val="22"/>
                <w:szCs w:val="22"/>
              </w:rPr>
            </w:pPr>
            <w:r>
              <w:rPr>
                <w:spacing w:val="-2"/>
                <w:sz w:val="22"/>
                <w:szCs w:val="22"/>
              </w:rPr>
              <w:t>-1936,1</w:t>
            </w:r>
            <w:r w:rsidR="003A58A3" w:rsidRPr="008047AB">
              <w:rPr>
                <w:spacing w:val="-2"/>
                <w:sz w:val="22"/>
                <w:szCs w:val="22"/>
              </w:rPr>
              <w:t xml:space="preserve"> / </w:t>
            </w:r>
          </w:p>
          <w:p w:rsidR="003A58A3" w:rsidRPr="008047AB" w:rsidRDefault="00334E8D" w:rsidP="005C4061">
            <w:pPr>
              <w:jc w:val="center"/>
              <w:rPr>
                <w:spacing w:val="-2"/>
                <w:sz w:val="22"/>
                <w:szCs w:val="22"/>
              </w:rPr>
            </w:pPr>
            <w:r>
              <w:rPr>
                <w:spacing w:val="-2"/>
                <w:sz w:val="22"/>
                <w:szCs w:val="22"/>
              </w:rPr>
              <w:t>-82,9%</w:t>
            </w:r>
          </w:p>
        </w:tc>
      </w:tr>
      <w:tr w:rsidR="00334E8D" w:rsidRPr="0029403D" w:rsidTr="00334E8D">
        <w:trPr>
          <w:trHeight w:val="283"/>
        </w:trPr>
        <w:tc>
          <w:tcPr>
            <w:tcW w:w="1531" w:type="dxa"/>
          </w:tcPr>
          <w:p w:rsidR="00334E8D" w:rsidRPr="00037D1B" w:rsidRDefault="00334E8D" w:rsidP="00334E8D">
            <w:pPr>
              <w:spacing w:before="20"/>
              <w:rPr>
                <w:sz w:val="22"/>
                <w:szCs w:val="22"/>
              </w:rPr>
            </w:pPr>
            <w:r>
              <w:rPr>
                <w:sz w:val="22"/>
                <w:szCs w:val="22"/>
              </w:rPr>
              <w:t>Прочие бе</w:t>
            </w:r>
            <w:r>
              <w:rPr>
                <w:sz w:val="22"/>
                <w:szCs w:val="22"/>
              </w:rPr>
              <w:t>з</w:t>
            </w:r>
            <w:r>
              <w:rPr>
                <w:sz w:val="22"/>
                <w:szCs w:val="22"/>
              </w:rPr>
              <w:t>возмездные поступления</w:t>
            </w:r>
          </w:p>
        </w:tc>
        <w:tc>
          <w:tcPr>
            <w:tcW w:w="850" w:type="dxa"/>
            <w:vAlign w:val="center"/>
          </w:tcPr>
          <w:p w:rsidR="00334E8D" w:rsidRPr="00037D1B" w:rsidRDefault="00334E8D" w:rsidP="00334E8D">
            <w:pPr>
              <w:jc w:val="center"/>
              <w:rPr>
                <w:sz w:val="22"/>
                <w:szCs w:val="22"/>
              </w:rPr>
            </w:pPr>
          </w:p>
        </w:tc>
        <w:tc>
          <w:tcPr>
            <w:tcW w:w="907" w:type="dxa"/>
            <w:vAlign w:val="center"/>
          </w:tcPr>
          <w:p w:rsidR="00334E8D" w:rsidRPr="00037D1B" w:rsidRDefault="00334E8D" w:rsidP="00334E8D">
            <w:pPr>
              <w:jc w:val="center"/>
              <w:rPr>
                <w:sz w:val="22"/>
                <w:szCs w:val="22"/>
              </w:rPr>
            </w:pPr>
          </w:p>
        </w:tc>
        <w:tc>
          <w:tcPr>
            <w:tcW w:w="908" w:type="dxa"/>
            <w:vAlign w:val="center"/>
          </w:tcPr>
          <w:p w:rsidR="00334E8D" w:rsidRPr="00037D1B" w:rsidRDefault="00334E8D" w:rsidP="00334E8D">
            <w:pPr>
              <w:jc w:val="center"/>
              <w:rPr>
                <w:sz w:val="22"/>
                <w:szCs w:val="22"/>
              </w:rPr>
            </w:pPr>
            <w:r>
              <w:rPr>
                <w:sz w:val="22"/>
                <w:szCs w:val="22"/>
              </w:rPr>
              <w:t>3339,7</w:t>
            </w:r>
          </w:p>
        </w:tc>
        <w:tc>
          <w:tcPr>
            <w:tcW w:w="794" w:type="dxa"/>
            <w:vAlign w:val="center"/>
          </w:tcPr>
          <w:p w:rsidR="00334E8D" w:rsidRPr="00037D1B" w:rsidRDefault="00334E8D" w:rsidP="00334E8D">
            <w:pPr>
              <w:jc w:val="center"/>
              <w:rPr>
                <w:sz w:val="22"/>
                <w:szCs w:val="22"/>
              </w:rPr>
            </w:pPr>
          </w:p>
        </w:tc>
        <w:tc>
          <w:tcPr>
            <w:tcW w:w="794" w:type="dxa"/>
            <w:vAlign w:val="center"/>
          </w:tcPr>
          <w:p w:rsidR="00334E8D" w:rsidRPr="00037D1B" w:rsidRDefault="00334E8D" w:rsidP="00334E8D">
            <w:pPr>
              <w:jc w:val="center"/>
              <w:rPr>
                <w:sz w:val="22"/>
                <w:szCs w:val="22"/>
              </w:rPr>
            </w:pPr>
          </w:p>
        </w:tc>
        <w:tc>
          <w:tcPr>
            <w:tcW w:w="794" w:type="dxa"/>
            <w:vAlign w:val="center"/>
          </w:tcPr>
          <w:p w:rsidR="00334E8D" w:rsidRPr="00037D1B" w:rsidRDefault="00334E8D" w:rsidP="00334E8D">
            <w:pPr>
              <w:jc w:val="center"/>
              <w:rPr>
                <w:sz w:val="22"/>
                <w:szCs w:val="22"/>
              </w:rPr>
            </w:pPr>
            <w:r>
              <w:rPr>
                <w:sz w:val="22"/>
                <w:szCs w:val="22"/>
              </w:rPr>
              <w:t>22,8%</w:t>
            </w:r>
          </w:p>
        </w:tc>
        <w:tc>
          <w:tcPr>
            <w:tcW w:w="1531" w:type="dxa"/>
            <w:vAlign w:val="center"/>
          </w:tcPr>
          <w:p w:rsidR="00334E8D" w:rsidRPr="008047AB" w:rsidRDefault="00334E8D" w:rsidP="00334E8D">
            <w:pPr>
              <w:jc w:val="center"/>
              <w:rPr>
                <w:spacing w:val="-2"/>
                <w:sz w:val="22"/>
                <w:szCs w:val="22"/>
              </w:rPr>
            </w:pPr>
          </w:p>
        </w:tc>
        <w:tc>
          <w:tcPr>
            <w:tcW w:w="1474" w:type="dxa"/>
            <w:vAlign w:val="center"/>
          </w:tcPr>
          <w:p w:rsidR="00334E8D" w:rsidRPr="008047AB" w:rsidRDefault="00334E8D" w:rsidP="00334E8D">
            <w:pPr>
              <w:jc w:val="center"/>
              <w:rPr>
                <w:spacing w:val="-2"/>
                <w:sz w:val="22"/>
                <w:szCs w:val="22"/>
              </w:rPr>
            </w:pPr>
          </w:p>
        </w:tc>
      </w:tr>
      <w:tr w:rsidR="003A58A3" w:rsidRPr="0029403D" w:rsidTr="003A58A3">
        <w:tc>
          <w:tcPr>
            <w:tcW w:w="1531" w:type="dxa"/>
          </w:tcPr>
          <w:p w:rsidR="003A58A3" w:rsidRPr="00037D1B" w:rsidRDefault="003A58A3" w:rsidP="002E14C6">
            <w:pPr>
              <w:rPr>
                <w:b/>
                <w:sz w:val="22"/>
                <w:szCs w:val="22"/>
              </w:rPr>
            </w:pPr>
            <w:r w:rsidRPr="00037D1B">
              <w:rPr>
                <w:b/>
                <w:sz w:val="22"/>
                <w:szCs w:val="22"/>
              </w:rPr>
              <w:t>Итого бе</w:t>
            </w:r>
            <w:r w:rsidRPr="00037D1B">
              <w:rPr>
                <w:b/>
                <w:sz w:val="22"/>
                <w:szCs w:val="22"/>
              </w:rPr>
              <w:t>з</w:t>
            </w:r>
            <w:r w:rsidRPr="00037D1B">
              <w:rPr>
                <w:b/>
                <w:sz w:val="22"/>
                <w:szCs w:val="22"/>
              </w:rPr>
              <w:t>возмездных поступлений</w:t>
            </w:r>
          </w:p>
        </w:tc>
        <w:tc>
          <w:tcPr>
            <w:tcW w:w="850" w:type="dxa"/>
            <w:vAlign w:val="center"/>
          </w:tcPr>
          <w:p w:rsidR="003A58A3" w:rsidRPr="004A77F1" w:rsidRDefault="003A58A3" w:rsidP="00334E8D">
            <w:pPr>
              <w:jc w:val="center"/>
              <w:rPr>
                <w:b/>
                <w:sz w:val="22"/>
                <w:szCs w:val="22"/>
              </w:rPr>
            </w:pPr>
            <w:r>
              <w:rPr>
                <w:b/>
                <w:sz w:val="22"/>
                <w:szCs w:val="22"/>
              </w:rPr>
              <w:t>9910,1</w:t>
            </w:r>
          </w:p>
        </w:tc>
        <w:tc>
          <w:tcPr>
            <w:tcW w:w="907" w:type="dxa"/>
            <w:vAlign w:val="center"/>
          </w:tcPr>
          <w:p w:rsidR="003A58A3" w:rsidRPr="008047AB" w:rsidRDefault="003A58A3" w:rsidP="00334E8D">
            <w:pPr>
              <w:jc w:val="center"/>
              <w:rPr>
                <w:b/>
                <w:spacing w:val="-4"/>
                <w:sz w:val="22"/>
                <w:szCs w:val="22"/>
              </w:rPr>
            </w:pPr>
            <w:r w:rsidRPr="008047AB">
              <w:rPr>
                <w:b/>
                <w:spacing w:val="-4"/>
                <w:sz w:val="22"/>
                <w:szCs w:val="22"/>
              </w:rPr>
              <w:t>14922,4</w:t>
            </w:r>
          </w:p>
        </w:tc>
        <w:tc>
          <w:tcPr>
            <w:tcW w:w="908" w:type="dxa"/>
            <w:vAlign w:val="center"/>
          </w:tcPr>
          <w:p w:rsidR="003A58A3" w:rsidRPr="008047AB" w:rsidRDefault="00334E8D" w:rsidP="00877B5F">
            <w:pPr>
              <w:jc w:val="center"/>
              <w:rPr>
                <w:b/>
                <w:spacing w:val="-4"/>
                <w:sz w:val="22"/>
                <w:szCs w:val="22"/>
              </w:rPr>
            </w:pPr>
            <w:r>
              <w:rPr>
                <w:b/>
                <w:spacing w:val="-4"/>
                <w:sz w:val="22"/>
                <w:szCs w:val="22"/>
              </w:rPr>
              <w:t>14618,9</w:t>
            </w:r>
          </w:p>
        </w:tc>
        <w:tc>
          <w:tcPr>
            <w:tcW w:w="794" w:type="dxa"/>
            <w:vAlign w:val="center"/>
          </w:tcPr>
          <w:p w:rsidR="003A58A3" w:rsidRPr="00037D1B" w:rsidRDefault="003A58A3" w:rsidP="00877B5F">
            <w:pPr>
              <w:jc w:val="center"/>
              <w:rPr>
                <w:b/>
                <w:sz w:val="22"/>
                <w:szCs w:val="22"/>
              </w:rPr>
            </w:pPr>
            <w:r w:rsidRPr="00037D1B">
              <w:rPr>
                <w:b/>
                <w:sz w:val="22"/>
                <w:szCs w:val="22"/>
              </w:rPr>
              <w:t>100%</w:t>
            </w:r>
          </w:p>
        </w:tc>
        <w:tc>
          <w:tcPr>
            <w:tcW w:w="794" w:type="dxa"/>
            <w:vAlign w:val="center"/>
          </w:tcPr>
          <w:p w:rsidR="003A58A3" w:rsidRPr="00037D1B" w:rsidRDefault="003A58A3" w:rsidP="00877B5F">
            <w:pPr>
              <w:jc w:val="center"/>
              <w:rPr>
                <w:b/>
                <w:sz w:val="22"/>
                <w:szCs w:val="22"/>
              </w:rPr>
            </w:pPr>
            <w:r w:rsidRPr="00037D1B">
              <w:rPr>
                <w:b/>
                <w:sz w:val="22"/>
                <w:szCs w:val="22"/>
              </w:rPr>
              <w:t>100%</w:t>
            </w:r>
          </w:p>
        </w:tc>
        <w:tc>
          <w:tcPr>
            <w:tcW w:w="794" w:type="dxa"/>
            <w:vAlign w:val="center"/>
          </w:tcPr>
          <w:p w:rsidR="003A58A3" w:rsidRPr="00037D1B" w:rsidRDefault="003A58A3" w:rsidP="00877B5F">
            <w:pPr>
              <w:jc w:val="center"/>
              <w:rPr>
                <w:b/>
                <w:sz w:val="22"/>
                <w:szCs w:val="22"/>
              </w:rPr>
            </w:pPr>
            <w:r w:rsidRPr="00037D1B">
              <w:rPr>
                <w:b/>
                <w:sz w:val="22"/>
                <w:szCs w:val="22"/>
              </w:rPr>
              <w:t>100%</w:t>
            </w:r>
          </w:p>
        </w:tc>
        <w:tc>
          <w:tcPr>
            <w:tcW w:w="1531" w:type="dxa"/>
            <w:vAlign w:val="center"/>
          </w:tcPr>
          <w:p w:rsidR="003A58A3" w:rsidRPr="008047AB" w:rsidRDefault="003A58A3" w:rsidP="00334E8D">
            <w:pPr>
              <w:jc w:val="center"/>
              <w:rPr>
                <w:b/>
                <w:spacing w:val="-2"/>
                <w:sz w:val="22"/>
                <w:szCs w:val="22"/>
              </w:rPr>
            </w:pPr>
            <w:r w:rsidRPr="008047AB">
              <w:rPr>
                <w:b/>
                <w:spacing w:val="-2"/>
                <w:sz w:val="22"/>
                <w:szCs w:val="22"/>
              </w:rPr>
              <w:t>5012,3 / 50,6%</w:t>
            </w:r>
          </w:p>
        </w:tc>
        <w:tc>
          <w:tcPr>
            <w:tcW w:w="1474" w:type="dxa"/>
            <w:vAlign w:val="center"/>
          </w:tcPr>
          <w:p w:rsidR="00334E8D" w:rsidRDefault="00334E8D" w:rsidP="00334E8D">
            <w:pPr>
              <w:jc w:val="center"/>
              <w:rPr>
                <w:b/>
                <w:spacing w:val="-2"/>
                <w:sz w:val="22"/>
                <w:szCs w:val="22"/>
              </w:rPr>
            </w:pPr>
            <w:r>
              <w:rPr>
                <w:b/>
                <w:spacing w:val="-2"/>
                <w:sz w:val="22"/>
                <w:szCs w:val="22"/>
              </w:rPr>
              <w:t>-303,5</w:t>
            </w:r>
            <w:r w:rsidR="003A58A3" w:rsidRPr="008047AB">
              <w:rPr>
                <w:b/>
                <w:spacing w:val="-2"/>
                <w:sz w:val="22"/>
                <w:szCs w:val="22"/>
              </w:rPr>
              <w:t xml:space="preserve"> / </w:t>
            </w:r>
          </w:p>
          <w:p w:rsidR="003A58A3" w:rsidRPr="008047AB" w:rsidRDefault="00334E8D" w:rsidP="00334E8D">
            <w:pPr>
              <w:jc w:val="center"/>
              <w:rPr>
                <w:b/>
                <w:spacing w:val="-2"/>
                <w:sz w:val="22"/>
                <w:szCs w:val="22"/>
              </w:rPr>
            </w:pPr>
            <w:r>
              <w:rPr>
                <w:b/>
                <w:spacing w:val="-2"/>
                <w:sz w:val="22"/>
                <w:szCs w:val="22"/>
              </w:rPr>
              <w:t>-2,0</w:t>
            </w:r>
            <w:r w:rsidR="003A58A3" w:rsidRPr="008047AB">
              <w:rPr>
                <w:b/>
                <w:spacing w:val="-2"/>
                <w:sz w:val="22"/>
                <w:szCs w:val="22"/>
              </w:rPr>
              <w:t>%</w:t>
            </w:r>
          </w:p>
        </w:tc>
      </w:tr>
    </w:tbl>
    <w:p w:rsidR="005F6890" w:rsidRPr="0029403D" w:rsidRDefault="006546A7" w:rsidP="004E327D">
      <w:pPr>
        <w:pStyle w:val="1"/>
      </w:pPr>
      <w:r w:rsidRPr="0029403D">
        <w:t>5</w:t>
      </w:r>
      <w:r w:rsidR="00765A98" w:rsidRPr="0029403D">
        <w:t>. </w:t>
      </w:r>
      <w:r w:rsidR="005F6890" w:rsidRPr="0029403D">
        <w:t xml:space="preserve">Анализ </w:t>
      </w:r>
      <w:r w:rsidR="00287802" w:rsidRPr="0029403D">
        <w:t>исполнения</w:t>
      </w:r>
      <w:r w:rsidR="005F6890" w:rsidRPr="0029403D">
        <w:t xml:space="preserve"> расходов </w:t>
      </w:r>
      <w:r w:rsidR="00882C08" w:rsidRPr="0029403D">
        <w:t>местного бюджета</w:t>
      </w:r>
    </w:p>
    <w:p w:rsidR="00656FBC" w:rsidRDefault="00656FBC" w:rsidP="00656FBC">
      <w:pPr>
        <w:ind w:firstLine="567"/>
        <w:jc w:val="both"/>
      </w:pPr>
      <w:r w:rsidRPr="004E49FA">
        <w:t xml:space="preserve">Местный бюджет на </w:t>
      </w:r>
      <w:r>
        <w:t>2015</w:t>
      </w:r>
      <w:r w:rsidRPr="004E49FA">
        <w:t xml:space="preserve"> год по </w:t>
      </w:r>
      <w:r>
        <w:t>рас</w:t>
      </w:r>
      <w:r w:rsidRPr="004E49FA">
        <w:t xml:space="preserve">ходам в объёме </w:t>
      </w:r>
      <w:r>
        <w:t>9294,29</w:t>
      </w:r>
      <w:r w:rsidRPr="004E49FA">
        <w:t xml:space="preserve"> тыс. руб. утверждён реш</w:t>
      </w:r>
      <w:r w:rsidRPr="004E49FA">
        <w:t>е</w:t>
      </w:r>
      <w:r w:rsidRPr="004E49FA">
        <w:t xml:space="preserve">нием </w:t>
      </w:r>
      <w:r>
        <w:t>38</w:t>
      </w:r>
      <w:r w:rsidRPr="004E49FA">
        <w:t xml:space="preserve"> сессии 4 созыва Совета депутатов </w:t>
      </w:r>
      <w:r>
        <w:t>Маршан</w:t>
      </w:r>
      <w:r w:rsidRPr="004E49FA">
        <w:t>ского сельсовета Каргатского района Н</w:t>
      </w:r>
      <w:r w:rsidRPr="004E49FA">
        <w:t>о</w:t>
      </w:r>
      <w:r w:rsidRPr="004E49FA">
        <w:t>восибирской области о</w:t>
      </w:r>
      <w:r>
        <w:t>т</w:t>
      </w:r>
      <w:r w:rsidRPr="004E49FA">
        <w:t xml:space="preserve"> </w:t>
      </w:r>
      <w:r>
        <w:t>23</w:t>
      </w:r>
      <w:r w:rsidRPr="004E49FA">
        <w:t>.12.</w:t>
      </w:r>
      <w:r>
        <w:t>2014</w:t>
      </w:r>
      <w:r w:rsidRPr="004E49FA">
        <w:t xml:space="preserve"> № </w:t>
      </w:r>
      <w:r>
        <w:t>204</w:t>
      </w:r>
      <w:r w:rsidRPr="00816F79">
        <w:t xml:space="preserve">. </w:t>
      </w:r>
    </w:p>
    <w:p w:rsidR="00656FBC" w:rsidRPr="00106352" w:rsidRDefault="00656FBC" w:rsidP="00656FBC">
      <w:pPr>
        <w:spacing w:before="60"/>
        <w:ind w:firstLine="567"/>
        <w:jc w:val="both"/>
        <w:rPr>
          <w:i/>
          <w:sz w:val="20"/>
          <w:szCs w:val="20"/>
        </w:rPr>
      </w:pPr>
      <w:r w:rsidRPr="00AC466B">
        <w:rPr>
          <w:spacing w:val="-2"/>
        </w:rPr>
        <w:t xml:space="preserve">Решениями от 25.03.2015 № 214, от 03.06.2015 № 220, от 14.08.2015 № 227, от 07.10.2015 № 8, от 09.12.2015 № 17, от 23.12.2015 № 20 были внесены изменения в плановые назначения по </w:t>
      </w:r>
      <w:r>
        <w:rPr>
          <w:spacing w:val="-2"/>
        </w:rPr>
        <w:t>расх</w:t>
      </w:r>
      <w:r w:rsidRPr="00AC466B">
        <w:rPr>
          <w:spacing w:val="-2"/>
        </w:rPr>
        <w:t>одам. Однако в текстовой части всех решений о внесении изменений в бюджет не ук</w:t>
      </w:r>
      <w:r w:rsidRPr="00AC466B">
        <w:rPr>
          <w:spacing w:val="-2"/>
        </w:rPr>
        <w:t>а</w:t>
      </w:r>
      <w:r w:rsidRPr="00AC466B">
        <w:rPr>
          <w:spacing w:val="-2"/>
        </w:rPr>
        <w:t xml:space="preserve">зан общий объём </w:t>
      </w:r>
      <w:r>
        <w:rPr>
          <w:spacing w:val="-2"/>
        </w:rPr>
        <w:t>рас</w:t>
      </w:r>
      <w:r w:rsidRPr="00AC466B">
        <w:rPr>
          <w:spacing w:val="-2"/>
        </w:rPr>
        <w:t xml:space="preserve">ходов. </w:t>
      </w:r>
      <w:r w:rsidRPr="00AC466B">
        <w:rPr>
          <w:b/>
          <w:spacing w:val="-2"/>
        </w:rPr>
        <w:t>Тем самым нарушен пункт 1 статьи 184.1 БК РФ</w:t>
      </w:r>
      <w:r>
        <w:rPr>
          <w:b/>
          <w:spacing w:val="-2"/>
        </w:rPr>
        <w:t>.</w:t>
      </w:r>
    </w:p>
    <w:p w:rsidR="00656FBC" w:rsidRDefault="00656FBC" w:rsidP="00656FBC">
      <w:pPr>
        <w:spacing w:before="60"/>
        <w:ind w:firstLine="567"/>
        <w:jc w:val="both"/>
      </w:pPr>
      <w:r w:rsidRPr="00394828">
        <w:rPr>
          <w:b/>
          <w:i/>
        </w:rPr>
        <w:t>На данн</w:t>
      </w:r>
      <w:r>
        <w:rPr>
          <w:b/>
          <w:i/>
        </w:rPr>
        <w:t>ое нарушение было указано в</w:t>
      </w:r>
      <w:r w:rsidRPr="00477B71">
        <w:rPr>
          <w:b/>
          <w:i/>
        </w:rPr>
        <w:t xml:space="preserve"> экспертных заключениях по результатам внешней проверки годовых отчётов об исполнении бюджета за 2013, 2014 годы</w:t>
      </w:r>
      <w:r w:rsidRPr="00394828">
        <w:rPr>
          <w:b/>
          <w:i/>
        </w:rPr>
        <w:t>.</w:t>
      </w:r>
    </w:p>
    <w:p w:rsidR="00551071" w:rsidRPr="00D41C3A" w:rsidRDefault="00551071" w:rsidP="00551071">
      <w:pPr>
        <w:autoSpaceDE w:val="0"/>
        <w:autoSpaceDN w:val="0"/>
        <w:adjustRightInd w:val="0"/>
        <w:spacing w:before="40"/>
        <w:ind w:firstLine="540"/>
        <w:jc w:val="both"/>
        <w:outlineLvl w:val="0"/>
        <w:rPr>
          <w:i/>
          <w:spacing w:val="-4"/>
          <w:sz w:val="20"/>
          <w:szCs w:val="20"/>
        </w:rPr>
      </w:pPr>
      <w:r w:rsidRPr="00D41C3A">
        <w:rPr>
          <w:spacing w:val="-4"/>
        </w:rPr>
        <w:t xml:space="preserve">По итогам всех внесённых изменений уточнённый объём </w:t>
      </w:r>
      <w:r w:rsidR="000651EC" w:rsidRPr="00D41C3A">
        <w:rPr>
          <w:spacing w:val="-4"/>
        </w:rPr>
        <w:t>рас</w:t>
      </w:r>
      <w:r w:rsidRPr="00D41C3A">
        <w:rPr>
          <w:spacing w:val="-4"/>
        </w:rPr>
        <w:t xml:space="preserve">ходов составляет </w:t>
      </w:r>
      <w:r w:rsidR="00656FBC">
        <w:rPr>
          <w:spacing w:val="-4"/>
        </w:rPr>
        <w:t>22330,4</w:t>
      </w:r>
      <w:r w:rsidRPr="00D41C3A">
        <w:rPr>
          <w:spacing w:val="-4"/>
        </w:rPr>
        <w:t xml:space="preserve"> тыс. руб. В отчёте об исполнении местного бюджета за </w:t>
      </w:r>
      <w:r w:rsidR="003A58A3">
        <w:rPr>
          <w:spacing w:val="-4"/>
        </w:rPr>
        <w:t>2015</w:t>
      </w:r>
      <w:r w:rsidRPr="00D41C3A">
        <w:rPr>
          <w:spacing w:val="-4"/>
        </w:rPr>
        <w:t xml:space="preserve"> год плановый показатель по </w:t>
      </w:r>
      <w:r w:rsidR="000651EC" w:rsidRPr="00D41C3A">
        <w:rPr>
          <w:spacing w:val="-4"/>
        </w:rPr>
        <w:t>рас</w:t>
      </w:r>
      <w:r w:rsidRPr="00D41C3A">
        <w:rPr>
          <w:spacing w:val="-4"/>
        </w:rPr>
        <w:t xml:space="preserve">ходам составляет </w:t>
      </w:r>
      <w:r w:rsidR="00656FBC">
        <w:rPr>
          <w:spacing w:val="-4"/>
        </w:rPr>
        <w:t>22330,4</w:t>
      </w:r>
      <w:r w:rsidR="00656FBC" w:rsidRPr="00D41C3A">
        <w:rPr>
          <w:spacing w:val="-4"/>
        </w:rPr>
        <w:t xml:space="preserve"> </w:t>
      </w:r>
      <w:r w:rsidRPr="00D41C3A">
        <w:rPr>
          <w:spacing w:val="-4"/>
        </w:rPr>
        <w:t>тыс. руб. Несоответствия нет, тем самым выполняется статья 32 БК РФ.</w:t>
      </w:r>
    </w:p>
    <w:p w:rsidR="00DB1053" w:rsidRPr="0029403D" w:rsidRDefault="00DB1053" w:rsidP="008723B0">
      <w:pPr>
        <w:spacing w:before="60"/>
        <w:ind w:firstLine="567"/>
        <w:jc w:val="both"/>
      </w:pPr>
      <w:r w:rsidRPr="0029403D">
        <w:t xml:space="preserve">Исполнение местного бюджета по расходам за </w:t>
      </w:r>
      <w:r w:rsidR="003A58A3">
        <w:t>2015</w:t>
      </w:r>
      <w:r w:rsidRPr="0029403D">
        <w:t xml:space="preserve"> год составило </w:t>
      </w:r>
      <w:r w:rsidR="00656FBC">
        <w:t>16497,3</w:t>
      </w:r>
      <w:r w:rsidR="00900825">
        <w:t xml:space="preserve"> </w:t>
      </w:r>
      <w:r w:rsidRPr="0029403D">
        <w:t xml:space="preserve">тыс. </w:t>
      </w:r>
      <w:r w:rsidR="00CA485C" w:rsidRPr="0029403D">
        <w:t>руб.</w:t>
      </w:r>
      <w:r w:rsidRPr="0029403D">
        <w:t xml:space="preserve"> или </w:t>
      </w:r>
      <w:r w:rsidR="00656FBC">
        <w:t>73,9</w:t>
      </w:r>
      <w:r w:rsidRPr="0029403D">
        <w:t>% к плану</w:t>
      </w:r>
      <w:r w:rsidR="00667AE3">
        <w:t xml:space="preserve"> </w:t>
      </w:r>
      <w:r w:rsidR="00667AE3" w:rsidRPr="0029403D">
        <w:t>(</w:t>
      </w:r>
      <w:r w:rsidR="00D01A8F">
        <w:t>недоисполнение</w:t>
      </w:r>
      <w:r w:rsidR="00667AE3" w:rsidRPr="0029403D">
        <w:t xml:space="preserve"> – </w:t>
      </w:r>
      <w:r w:rsidR="00656FBC">
        <w:t>5833,1</w:t>
      </w:r>
      <w:r w:rsidR="00667AE3" w:rsidRPr="0029403D">
        <w:t xml:space="preserve"> тыс. руб.)</w:t>
      </w:r>
      <w:r w:rsidRPr="0029403D">
        <w:t>.</w:t>
      </w:r>
    </w:p>
    <w:p w:rsidR="00C62F03" w:rsidRPr="0029403D" w:rsidRDefault="00C62F03" w:rsidP="008723B0">
      <w:pPr>
        <w:spacing w:before="60"/>
        <w:ind w:firstLine="567"/>
        <w:jc w:val="both"/>
      </w:pPr>
      <w:r w:rsidRPr="0029403D">
        <w:t xml:space="preserve">Информация о структуре и динамике расходов </w:t>
      </w:r>
      <w:r w:rsidR="00882C08" w:rsidRPr="0029403D">
        <w:t>местного бюджета</w:t>
      </w:r>
      <w:r w:rsidRPr="0029403D">
        <w:t xml:space="preserve"> в </w:t>
      </w:r>
      <w:r w:rsidR="003A58A3">
        <w:t>2013</w:t>
      </w:r>
      <w:r w:rsidR="00D912C8" w:rsidRPr="0029403D">
        <w:t>-</w:t>
      </w:r>
      <w:r w:rsidR="003A58A3">
        <w:t>2015</w:t>
      </w:r>
      <w:r w:rsidR="00D912C8" w:rsidRPr="0029403D">
        <w:t xml:space="preserve"> годах</w:t>
      </w:r>
      <w:r w:rsidRPr="0029403D">
        <w:t xml:space="preserve"> представлена в </w:t>
      </w:r>
      <w:r w:rsidR="00D912C8" w:rsidRPr="0029403D">
        <w:t xml:space="preserve">таблице </w:t>
      </w:r>
      <w:r w:rsidR="005E4A26">
        <w:t>4</w:t>
      </w:r>
      <w:r w:rsidRPr="0029403D">
        <w:t>.</w:t>
      </w:r>
    </w:p>
    <w:p w:rsidR="00D912C8" w:rsidRPr="0029403D" w:rsidRDefault="00D912C8" w:rsidP="00C4031D">
      <w:pPr>
        <w:spacing w:before="120" w:after="120"/>
        <w:ind w:firstLine="567"/>
        <w:jc w:val="center"/>
        <w:rPr>
          <w:sz w:val="22"/>
          <w:szCs w:val="22"/>
        </w:rPr>
      </w:pPr>
      <w:r w:rsidRPr="0029403D">
        <w:rPr>
          <w:sz w:val="22"/>
          <w:szCs w:val="22"/>
        </w:rPr>
        <w:t xml:space="preserve">Таблица </w:t>
      </w:r>
      <w:r w:rsidR="005E4A26">
        <w:rPr>
          <w:sz w:val="22"/>
          <w:szCs w:val="22"/>
        </w:rPr>
        <w:t>4</w:t>
      </w:r>
      <w:r w:rsidRPr="0029403D">
        <w:rPr>
          <w:sz w:val="22"/>
          <w:szCs w:val="22"/>
        </w:rPr>
        <w:t>. Анализ структуры расходов местного бюджета, тыс. руб.</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07"/>
        <w:gridCol w:w="907"/>
        <w:gridCol w:w="907"/>
        <w:gridCol w:w="794"/>
        <w:gridCol w:w="794"/>
        <w:gridCol w:w="794"/>
        <w:gridCol w:w="1191"/>
        <w:gridCol w:w="1191"/>
      </w:tblGrid>
      <w:tr w:rsidR="004B6B0C" w:rsidRPr="0029403D" w:rsidTr="00747FF5">
        <w:trPr>
          <w:trHeight w:val="250"/>
        </w:trPr>
        <w:tc>
          <w:tcPr>
            <w:tcW w:w="2268" w:type="dxa"/>
            <w:vMerge w:val="restart"/>
          </w:tcPr>
          <w:p w:rsidR="004B6B0C" w:rsidRPr="0029403D" w:rsidRDefault="004B6B0C" w:rsidP="005E4A26">
            <w:pPr>
              <w:spacing w:before="120"/>
              <w:jc w:val="center"/>
              <w:rPr>
                <w:i/>
                <w:sz w:val="20"/>
                <w:szCs w:val="20"/>
              </w:rPr>
            </w:pPr>
            <w:r w:rsidRPr="0029403D">
              <w:rPr>
                <w:i/>
                <w:sz w:val="20"/>
                <w:szCs w:val="20"/>
              </w:rPr>
              <w:t>Наименование статей расходов</w:t>
            </w:r>
          </w:p>
        </w:tc>
        <w:tc>
          <w:tcPr>
            <w:tcW w:w="2721" w:type="dxa"/>
            <w:gridSpan w:val="3"/>
            <w:vAlign w:val="center"/>
          </w:tcPr>
          <w:p w:rsidR="004B6B0C" w:rsidRPr="0029403D" w:rsidRDefault="004B6B0C" w:rsidP="002E14C6">
            <w:pPr>
              <w:jc w:val="center"/>
              <w:rPr>
                <w:i/>
                <w:sz w:val="20"/>
                <w:szCs w:val="20"/>
              </w:rPr>
            </w:pPr>
            <w:r w:rsidRPr="0029403D">
              <w:rPr>
                <w:i/>
                <w:sz w:val="20"/>
                <w:szCs w:val="20"/>
              </w:rPr>
              <w:t>Исполнение бюджета</w:t>
            </w:r>
          </w:p>
        </w:tc>
        <w:tc>
          <w:tcPr>
            <w:tcW w:w="2382" w:type="dxa"/>
            <w:gridSpan w:val="3"/>
          </w:tcPr>
          <w:p w:rsidR="004B6B0C" w:rsidRPr="0029403D" w:rsidRDefault="004B6B0C" w:rsidP="005E4A26">
            <w:pPr>
              <w:spacing w:before="120"/>
              <w:jc w:val="center"/>
              <w:rPr>
                <w:i/>
                <w:sz w:val="20"/>
                <w:szCs w:val="20"/>
              </w:rPr>
            </w:pPr>
            <w:r w:rsidRPr="0029403D">
              <w:rPr>
                <w:i/>
                <w:sz w:val="20"/>
                <w:szCs w:val="20"/>
              </w:rPr>
              <w:t>Доля в общих расходах</w:t>
            </w:r>
          </w:p>
        </w:tc>
        <w:tc>
          <w:tcPr>
            <w:tcW w:w="2382" w:type="dxa"/>
            <w:gridSpan w:val="2"/>
            <w:vAlign w:val="center"/>
          </w:tcPr>
          <w:p w:rsidR="004B6B0C" w:rsidRPr="0029403D" w:rsidRDefault="004B6B0C" w:rsidP="005E4A26">
            <w:pPr>
              <w:jc w:val="center"/>
              <w:rPr>
                <w:i/>
                <w:sz w:val="20"/>
                <w:szCs w:val="20"/>
              </w:rPr>
            </w:pPr>
            <w:r w:rsidRPr="0029403D">
              <w:rPr>
                <w:i/>
                <w:sz w:val="20"/>
                <w:szCs w:val="20"/>
              </w:rPr>
              <w:t>Абсолютный прирост (тыс. руб./проценты)</w:t>
            </w:r>
          </w:p>
        </w:tc>
      </w:tr>
      <w:tr w:rsidR="004B6B0C" w:rsidRPr="0029403D" w:rsidTr="00C27E12">
        <w:trPr>
          <w:trHeight w:val="250"/>
        </w:trPr>
        <w:tc>
          <w:tcPr>
            <w:tcW w:w="2268" w:type="dxa"/>
            <w:vMerge/>
          </w:tcPr>
          <w:p w:rsidR="004B6B0C" w:rsidRPr="0029403D" w:rsidRDefault="004B6B0C" w:rsidP="002E14C6">
            <w:pPr>
              <w:jc w:val="center"/>
              <w:rPr>
                <w:i/>
                <w:sz w:val="20"/>
                <w:szCs w:val="20"/>
              </w:rPr>
            </w:pPr>
          </w:p>
        </w:tc>
        <w:tc>
          <w:tcPr>
            <w:tcW w:w="907" w:type="dxa"/>
          </w:tcPr>
          <w:p w:rsidR="004B6B0C" w:rsidRPr="00C27E12" w:rsidRDefault="003A58A3" w:rsidP="005E4A26">
            <w:pPr>
              <w:spacing w:before="40" w:after="40"/>
              <w:jc w:val="center"/>
              <w:rPr>
                <w:i/>
                <w:sz w:val="21"/>
                <w:szCs w:val="21"/>
              </w:rPr>
            </w:pPr>
            <w:r>
              <w:rPr>
                <w:i/>
                <w:sz w:val="21"/>
                <w:szCs w:val="21"/>
              </w:rPr>
              <w:t>2013</w:t>
            </w:r>
          </w:p>
        </w:tc>
        <w:tc>
          <w:tcPr>
            <w:tcW w:w="907" w:type="dxa"/>
          </w:tcPr>
          <w:p w:rsidR="004B6B0C" w:rsidRPr="00C27E12" w:rsidRDefault="003A58A3" w:rsidP="005E4A26">
            <w:pPr>
              <w:spacing w:before="40" w:after="40"/>
              <w:jc w:val="center"/>
              <w:rPr>
                <w:i/>
                <w:sz w:val="21"/>
                <w:szCs w:val="21"/>
              </w:rPr>
            </w:pPr>
            <w:r>
              <w:rPr>
                <w:i/>
                <w:sz w:val="21"/>
                <w:szCs w:val="21"/>
              </w:rPr>
              <w:t>2014</w:t>
            </w:r>
          </w:p>
        </w:tc>
        <w:tc>
          <w:tcPr>
            <w:tcW w:w="907" w:type="dxa"/>
          </w:tcPr>
          <w:p w:rsidR="004B6B0C" w:rsidRPr="00C27E12" w:rsidRDefault="003A58A3" w:rsidP="005E4A26">
            <w:pPr>
              <w:spacing w:before="40" w:after="40"/>
              <w:jc w:val="center"/>
              <w:rPr>
                <w:i/>
                <w:sz w:val="21"/>
                <w:szCs w:val="21"/>
              </w:rPr>
            </w:pPr>
            <w:r>
              <w:rPr>
                <w:i/>
                <w:sz w:val="21"/>
                <w:szCs w:val="21"/>
              </w:rPr>
              <w:t>2015</w:t>
            </w:r>
          </w:p>
        </w:tc>
        <w:tc>
          <w:tcPr>
            <w:tcW w:w="794" w:type="dxa"/>
          </w:tcPr>
          <w:p w:rsidR="004B6B0C" w:rsidRPr="0029403D" w:rsidRDefault="003A58A3" w:rsidP="005E4A26">
            <w:pPr>
              <w:spacing w:before="40" w:after="40"/>
              <w:jc w:val="center"/>
              <w:rPr>
                <w:i/>
                <w:sz w:val="20"/>
                <w:szCs w:val="20"/>
              </w:rPr>
            </w:pPr>
            <w:r>
              <w:rPr>
                <w:i/>
                <w:sz w:val="20"/>
                <w:szCs w:val="20"/>
              </w:rPr>
              <w:t>2013</w:t>
            </w:r>
          </w:p>
        </w:tc>
        <w:tc>
          <w:tcPr>
            <w:tcW w:w="794" w:type="dxa"/>
          </w:tcPr>
          <w:p w:rsidR="004B6B0C" w:rsidRPr="0029403D" w:rsidRDefault="003A58A3" w:rsidP="005E4A26">
            <w:pPr>
              <w:spacing w:before="40" w:after="40"/>
              <w:jc w:val="center"/>
              <w:rPr>
                <w:i/>
                <w:sz w:val="20"/>
                <w:szCs w:val="20"/>
              </w:rPr>
            </w:pPr>
            <w:r>
              <w:rPr>
                <w:i/>
                <w:sz w:val="20"/>
                <w:szCs w:val="20"/>
              </w:rPr>
              <w:t>2014</w:t>
            </w:r>
          </w:p>
        </w:tc>
        <w:tc>
          <w:tcPr>
            <w:tcW w:w="794" w:type="dxa"/>
          </w:tcPr>
          <w:p w:rsidR="004B6B0C" w:rsidRPr="0029403D" w:rsidRDefault="003A58A3" w:rsidP="005E4A26">
            <w:pPr>
              <w:spacing w:before="40" w:after="40"/>
              <w:jc w:val="center"/>
              <w:rPr>
                <w:i/>
                <w:sz w:val="20"/>
                <w:szCs w:val="20"/>
              </w:rPr>
            </w:pPr>
            <w:r>
              <w:rPr>
                <w:i/>
                <w:sz w:val="20"/>
                <w:szCs w:val="20"/>
              </w:rPr>
              <w:t>2015</w:t>
            </w:r>
          </w:p>
        </w:tc>
        <w:tc>
          <w:tcPr>
            <w:tcW w:w="1191" w:type="dxa"/>
          </w:tcPr>
          <w:p w:rsidR="004B6B0C" w:rsidRPr="005E4A26" w:rsidRDefault="003A58A3" w:rsidP="005E4A26">
            <w:pPr>
              <w:spacing w:before="40" w:after="40"/>
              <w:jc w:val="center"/>
              <w:rPr>
                <w:i/>
                <w:spacing w:val="-2"/>
                <w:sz w:val="20"/>
                <w:szCs w:val="20"/>
              </w:rPr>
            </w:pPr>
            <w:r>
              <w:rPr>
                <w:i/>
                <w:spacing w:val="-2"/>
                <w:sz w:val="20"/>
                <w:szCs w:val="20"/>
              </w:rPr>
              <w:t>2014</w:t>
            </w:r>
            <w:r w:rsidR="005E4A26" w:rsidRPr="005E4A26">
              <w:rPr>
                <w:i/>
                <w:spacing w:val="-2"/>
                <w:sz w:val="20"/>
                <w:szCs w:val="20"/>
              </w:rPr>
              <w:t xml:space="preserve"> к </w:t>
            </w:r>
            <w:r>
              <w:rPr>
                <w:i/>
                <w:spacing w:val="-2"/>
                <w:sz w:val="20"/>
                <w:szCs w:val="20"/>
              </w:rPr>
              <w:t>2013</w:t>
            </w:r>
          </w:p>
        </w:tc>
        <w:tc>
          <w:tcPr>
            <w:tcW w:w="1191" w:type="dxa"/>
          </w:tcPr>
          <w:p w:rsidR="004B6B0C" w:rsidRPr="005E4A26" w:rsidRDefault="003A58A3" w:rsidP="005E4A26">
            <w:pPr>
              <w:spacing w:before="40" w:after="40"/>
              <w:jc w:val="center"/>
              <w:rPr>
                <w:i/>
                <w:spacing w:val="-2"/>
                <w:sz w:val="20"/>
                <w:szCs w:val="20"/>
              </w:rPr>
            </w:pPr>
            <w:r>
              <w:rPr>
                <w:i/>
                <w:spacing w:val="-2"/>
                <w:sz w:val="20"/>
                <w:szCs w:val="20"/>
              </w:rPr>
              <w:t>2015</w:t>
            </w:r>
            <w:r w:rsidR="005E4A26" w:rsidRPr="005E4A26">
              <w:rPr>
                <w:i/>
                <w:spacing w:val="-2"/>
                <w:sz w:val="20"/>
                <w:szCs w:val="20"/>
              </w:rPr>
              <w:t xml:space="preserve"> к </w:t>
            </w:r>
            <w:r>
              <w:rPr>
                <w:i/>
                <w:spacing w:val="-2"/>
                <w:sz w:val="20"/>
                <w:szCs w:val="20"/>
              </w:rPr>
              <w:t>2014</w:t>
            </w:r>
          </w:p>
        </w:tc>
      </w:tr>
      <w:tr w:rsidR="003A58A3" w:rsidRPr="00495BE5" w:rsidTr="00C27E12">
        <w:tc>
          <w:tcPr>
            <w:tcW w:w="2268" w:type="dxa"/>
            <w:vAlign w:val="center"/>
          </w:tcPr>
          <w:p w:rsidR="003A58A3" w:rsidRPr="00495BE5" w:rsidRDefault="003A58A3" w:rsidP="002E14C6">
            <w:pPr>
              <w:rPr>
                <w:sz w:val="22"/>
                <w:szCs w:val="22"/>
              </w:rPr>
            </w:pPr>
            <w:r w:rsidRPr="00495BE5">
              <w:rPr>
                <w:sz w:val="22"/>
                <w:szCs w:val="22"/>
              </w:rPr>
              <w:t>Общегосударстве</w:t>
            </w:r>
            <w:r w:rsidRPr="00495BE5">
              <w:rPr>
                <w:sz w:val="22"/>
                <w:szCs w:val="22"/>
              </w:rPr>
              <w:t>н</w:t>
            </w:r>
            <w:r w:rsidRPr="00495BE5">
              <w:rPr>
                <w:sz w:val="22"/>
                <w:szCs w:val="22"/>
              </w:rPr>
              <w:t>ные вопросы</w:t>
            </w:r>
          </w:p>
        </w:tc>
        <w:tc>
          <w:tcPr>
            <w:tcW w:w="907" w:type="dxa"/>
            <w:vAlign w:val="center"/>
          </w:tcPr>
          <w:p w:rsidR="003A58A3" w:rsidRPr="00495BE5" w:rsidRDefault="003A58A3" w:rsidP="00334E8D">
            <w:pPr>
              <w:jc w:val="center"/>
              <w:rPr>
                <w:sz w:val="22"/>
                <w:szCs w:val="22"/>
              </w:rPr>
            </w:pPr>
            <w:r w:rsidRPr="00495BE5">
              <w:rPr>
                <w:sz w:val="22"/>
                <w:szCs w:val="22"/>
              </w:rPr>
              <w:t>2224,3</w:t>
            </w:r>
          </w:p>
        </w:tc>
        <w:tc>
          <w:tcPr>
            <w:tcW w:w="907" w:type="dxa"/>
            <w:vAlign w:val="center"/>
          </w:tcPr>
          <w:p w:rsidR="003A58A3" w:rsidRPr="00495BE5" w:rsidRDefault="003A58A3" w:rsidP="00334E8D">
            <w:pPr>
              <w:jc w:val="center"/>
              <w:rPr>
                <w:sz w:val="22"/>
                <w:szCs w:val="22"/>
              </w:rPr>
            </w:pPr>
            <w:r w:rsidRPr="00495BE5">
              <w:rPr>
                <w:sz w:val="22"/>
                <w:szCs w:val="22"/>
              </w:rPr>
              <w:t>2218,0</w:t>
            </w:r>
          </w:p>
        </w:tc>
        <w:tc>
          <w:tcPr>
            <w:tcW w:w="907" w:type="dxa"/>
            <w:vAlign w:val="center"/>
          </w:tcPr>
          <w:p w:rsidR="003A58A3" w:rsidRPr="00495BE5" w:rsidRDefault="00334E8D" w:rsidP="00381832">
            <w:pPr>
              <w:jc w:val="center"/>
              <w:rPr>
                <w:sz w:val="22"/>
                <w:szCs w:val="22"/>
              </w:rPr>
            </w:pPr>
            <w:r w:rsidRPr="00495BE5">
              <w:rPr>
                <w:sz w:val="22"/>
                <w:szCs w:val="22"/>
              </w:rPr>
              <w:t>2567,0</w:t>
            </w:r>
          </w:p>
        </w:tc>
        <w:tc>
          <w:tcPr>
            <w:tcW w:w="794" w:type="dxa"/>
          </w:tcPr>
          <w:p w:rsidR="003A58A3" w:rsidRPr="00495BE5" w:rsidRDefault="003A58A3" w:rsidP="00334E8D">
            <w:pPr>
              <w:spacing w:before="120"/>
              <w:jc w:val="center"/>
              <w:rPr>
                <w:sz w:val="22"/>
                <w:szCs w:val="22"/>
              </w:rPr>
            </w:pPr>
            <w:r w:rsidRPr="00495BE5">
              <w:rPr>
                <w:sz w:val="22"/>
                <w:szCs w:val="22"/>
              </w:rPr>
              <w:t>21,3%</w:t>
            </w:r>
          </w:p>
        </w:tc>
        <w:tc>
          <w:tcPr>
            <w:tcW w:w="794" w:type="dxa"/>
          </w:tcPr>
          <w:p w:rsidR="003A58A3" w:rsidRPr="00495BE5" w:rsidRDefault="003A58A3" w:rsidP="00334E8D">
            <w:pPr>
              <w:spacing w:before="120"/>
              <w:jc w:val="center"/>
              <w:rPr>
                <w:sz w:val="22"/>
                <w:szCs w:val="22"/>
              </w:rPr>
            </w:pPr>
            <w:r w:rsidRPr="00495BE5">
              <w:rPr>
                <w:sz w:val="22"/>
                <w:szCs w:val="22"/>
              </w:rPr>
              <w:t>14,3%</w:t>
            </w:r>
          </w:p>
        </w:tc>
        <w:tc>
          <w:tcPr>
            <w:tcW w:w="794" w:type="dxa"/>
          </w:tcPr>
          <w:p w:rsidR="003A58A3" w:rsidRPr="00495BE5" w:rsidRDefault="00334E8D" w:rsidP="003D7C34">
            <w:pPr>
              <w:spacing w:before="120"/>
              <w:jc w:val="center"/>
              <w:rPr>
                <w:sz w:val="22"/>
                <w:szCs w:val="22"/>
              </w:rPr>
            </w:pPr>
            <w:r w:rsidRPr="00495BE5">
              <w:rPr>
                <w:sz w:val="22"/>
                <w:szCs w:val="22"/>
              </w:rPr>
              <w:t>15,6%</w:t>
            </w:r>
          </w:p>
        </w:tc>
        <w:tc>
          <w:tcPr>
            <w:tcW w:w="1191" w:type="dxa"/>
            <w:vAlign w:val="center"/>
          </w:tcPr>
          <w:p w:rsidR="003A58A3" w:rsidRPr="00495BE5" w:rsidRDefault="003A58A3" w:rsidP="00334E8D">
            <w:pPr>
              <w:jc w:val="center"/>
              <w:rPr>
                <w:sz w:val="22"/>
                <w:szCs w:val="22"/>
              </w:rPr>
            </w:pPr>
            <w:r w:rsidRPr="00495BE5">
              <w:rPr>
                <w:sz w:val="22"/>
                <w:szCs w:val="22"/>
              </w:rPr>
              <w:t xml:space="preserve">-6,3 / </w:t>
            </w:r>
          </w:p>
          <w:p w:rsidR="003A58A3" w:rsidRPr="00495BE5" w:rsidRDefault="003A58A3" w:rsidP="00334E8D">
            <w:pPr>
              <w:jc w:val="center"/>
              <w:rPr>
                <w:sz w:val="22"/>
                <w:szCs w:val="22"/>
              </w:rPr>
            </w:pPr>
            <w:r w:rsidRPr="00495BE5">
              <w:rPr>
                <w:sz w:val="22"/>
                <w:szCs w:val="22"/>
              </w:rPr>
              <w:t>-0,3%</w:t>
            </w:r>
          </w:p>
        </w:tc>
        <w:tc>
          <w:tcPr>
            <w:tcW w:w="1191" w:type="dxa"/>
            <w:vAlign w:val="center"/>
          </w:tcPr>
          <w:p w:rsidR="003A58A3" w:rsidRPr="00495BE5" w:rsidRDefault="00334E8D" w:rsidP="00334E8D">
            <w:pPr>
              <w:jc w:val="center"/>
              <w:rPr>
                <w:sz w:val="22"/>
                <w:szCs w:val="22"/>
              </w:rPr>
            </w:pPr>
            <w:r w:rsidRPr="00495BE5">
              <w:rPr>
                <w:sz w:val="22"/>
                <w:szCs w:val="22"/>
              </w:rPr>
              <w:t>349,0</w:t>
            </w:r>
            <w:r w:rsidR="003A58A3" w:rsidRPr="00495BE5">
              <w:rPr>
                <w:sz w:val="22"/>
                <w:szCs w:val="22"/>
              </w:rPr>
              <w:t xml:space="preserve"> / </w:t>
            </w:r>
            <w:r w:rsidRPr="00495BE5">
              <w:rPr>
                <w:sz w:val="22"/>
                <w:szCs w:val="22"/>
              </w:rPr>
              <w:t>15,7</w:t>
            </w:r>
            <w:r w:rsidR="003A58A3" w:rsidRPr="00495BE5">
              <w:rPr>
                <w:sz w:val="22"/>
                <w:szCs w:val="22"/>
              </w:rPr>
              <w:t>%</w:t>
            </w:r>
          </w:p>
        </w:tc>
      </w:tr>
      <w:tr w:rsidR="003A58A3" w:rsidRPr="00495BE5" w:rsidTr="00C27E12">
        <w:tc>
          <w:tcPr>
            <w:tcW w:w="2268" w:type="dxa"/>
          </w:tcPr>
          <w:p w:rsidR="003A58A3" w:rsidRPr="00495BE5" w:rsidRDefault="003A58A3" w:rsidP="002E14C6">
            <w:pPr>
              <w:rPr>
                <w:sz w:val="22"/>
                <w:szCs w:val="22"/>
              </w:rPr>
            </w:pPr>
            <w:r w:rsidRPr="00495BE5">
              <w:rPr>
                <w:sz w:val="22"/>
                <w:szCs w:val="22"/>
              </w:rPr>
              <w:t>Национальная об</w:t>
            </w:r>
            <w:r w:rsidRPr="00495BE5">
              <w:rPr>
                <w:sz w:val="22"/>
                <w:szCs w:val="22"/>
              </w:rPr>
              <w:t>о</w:t>
            </w:r>
            <w:r w:rsidRPr="00495BE5">
              <w:rPr>
                <w:sz w:val="22"/>
                <w:szCs w:val="22"/>
              </w:rPr>
              <w:t>рона</w:t>
            </w:r>
          </w:p>
        </w:tc>
        <w:tc>
          <w:tcPr>
            <w:tcW w:w="907" w:type="dxa"/>
            <w:vAlign w:val="center"/>
          </w:tcPr>
          <w:p w:rsidR="003A58A3" w:rsidRPr="00495BE5" w:rsidRDefault="003A58A3" w:rsidP="00334E8D">
            <w:pPr>
              <w:jc w:val="center"/>
              <w:rPr>
                <w:sz w:val="22"/>
                <w:szCs w:val="22"/>
              </w:rPr>
            </w:pPr>
            <w:r w:rsidRPr="00495BE5">
              <w:rPr>
                <w:sz w:val="22"/>
                <w:szCs w:val="22"/>
              </w:rPr>
              <w:t>66,0</w:t>
            </w:r>
          </w:p>
        </w:tc>
        <w:tc>
          <w:tcPr>
            <w:tcW w:w="907" w:type="dxa"/>
            <w:vAlign w:val="center"/>
          </w:tcPr>
          <w:p w:rsidR="003A58A3" w:rsidRPr="00495BE5" w:rsidRDefault="003A58A3" w:rsidP="00334E8D">
            <w:pPr>
              <w:jc w:val="center"/>
              <w:rPr>
                <w:sz w:val="22"/>
                <w:szCs w:val="22"/>
              </w:rPr>
            </w:pPr>
            <w:r w:rsidRPr="00495BE5">
              <w:rPr>
                <w:sz w:val="22"/>
                <w:szCs w:val="22"/>
              </w:rPr>
              <w:t>72,7</w:t>
            </w:r>
          </w:p>
        </w:tc>
        <w:tc>
          <w:tcPr>
            <w:tcW w:w="907" w:type="dxa"/>
            <w:vAlign w:val="center"/>
          </w:tcPr>
          <w:p w:rsidR="003A58A3" w:rsidRPr="00495BE5" w:rsidRDefault="00334E8D" w:rsidP="002E14C6">
            <w:pPr>
              <w:jc w:val="center"/>
              <w:rPr>
                <w:sz w:val="22"/>
                <w:szCs w:val="22"/>
              </w:rPr>
            </w:pPr>
            <w:r w:rsidRPr="00495BE5">
              <w:rPr>
                <w:sz w:val="22"/>
                <w:szCs w:val="22"/>
              </w:rPr>
              <w:t>77,4</w:t>
            </w:r>
          </w:p>
        </w:tc>
        <w:tc>
          <w:tcPr>
            <w:tcW w:w="794" w:type="dxa"/>
          </w:tcPr>
          <w:p w:rsidR="003A58A3" w:rsidRPr="00495BE5" w:rsidRDefault="003A58A3" w:rsidP="00334E8D">
            <w:pPr>
              <w:spacing w:before="120"/>
              <w:jc w:val="center"/>
              <w:rPr>
                <w:sz w:val="22"/>
                <w:szCs w:val="22"/>
              </w:rPr>
            </w:pPr>
            <w:r w:rsidRPr="00495BE5">
              <w:rPr>
                <w:sz w:val="22"/>
                <w:szCs w:val="22"/>
              </w:rPr>
              <w:t>0,6%</w:t>
            </w:r>
          </w:p>
        </w:tc>
        <w:tc>
          <w:tcPr>
            <w:tcW w:w="794" w:type="dxa"/>
          </w:tcPr>
          <w:p w:rsidR="003A58A3" w:rsidRPr="00495BE5" w:rsidRDefault="003A58A3" w:rsidP="00334E8D">
            <w:pPr>
              <w:spacing w:before="120"/>
              <w:jc w:val="center"/>
              <w:rPr>
                <w:sz w:val="22"/>
                <w:szCs w:val="22"/>
              </w:rPr>
            </w:pPr>
            <w:r w:rsidRPr="00495BE5">
              <w:rPr>
                <w:sz w:val="22"/>
                <w:szCs w:val="22"/>
              </w:rPr>
              <w:t>0,5%</w:t>
            </w:r>
          </w:p>
        </w:tc>
        <w:tc>
          <w:tcPr>
            <w:tcW w:w="794" w:type="dxa"/>
          </w:tcPr>
          <w:p w:rsidR="003A58A3" w:rsidRPr="00495BE5" w:rsidRDefault="00334E8D" w:rsidP="00F82F67">
            <w:pPr>
              <w:spacing w:before="120"/>
              <w:jc w:val="center"/>
              <w:rPr>
                <w:sz w:val="22"/>
                <w:szCs w:val="22"/>
              </w:rPr>
            </w:pPr>
            <w:r w:rsidRPr="00495BE5">
              <w:rPr>
                <w:sz w:val="22"/>
                <w:szCs w:val="22"/>
              </w:rPr>
              <w:t>0,5%</w:t>
            </w:r>
          </w:p>
        </w:tc>
        <w:tc>
          <w:tcPr>
            <w:tcW w:w="1191" w:type="dxa"/>
            <w:vAlign w:val="center"/>
          </w:tcPr>
          <w:p w:rsidR="003A58A3" w:rsidRPr="00495BE5" w:rsidRDefault="003A58A3" w:rsidP="00334E8D">
            <w:pPr>
              <w:jc w:val="center"/>
              <w:rPr>
                <w:sz w:val="22"/>
                <w:szCs w:val="22"/>
              </w:rPr>
            </w:pPr>
            <w:r w:rsidRPr="00495BE5">
              <w:rPr>
                <w:sz w:val="22"/>
                <w:szCs w:val="22"/>
              </w:rPr>
              <w:t>6,7 / 10,2%</w:t>
            </w:r>
          </w:p>
        </w:tc>
        <w:tc>
          <w:tcPr>
            <w:tcW w:w="1191" w:type="dxa"/>
            <w:vAlign w:val="center"/>
          </w:tcPr>
          <w:p w:rsidR="003A58A3" w:rsidRPr="00495BE5" w:rsidRDefault="00334E8D" w:rsidP="00334E8D">
            <w:pPr>
              <w:jc w:val="center"/>
              <w:rPr>
                <w:sz w:val="22"/>
                <w:szCs w:val="22"/>
              </w:rPr>
            </w:pPr>
            <w:r w:rsidRPr="00495BE5">
              <w:rPr>
                <w:sz w:val="22"/>
                <w:szCs w:val="22"/>
              </w:rPr>
              <w:t>4</w:t>
            </w:r>
            <w:r w:rsidR="003A58A3" w:rsidRPr="00495BE5">
              <w:rPr>
                <w:sz w:val="22"/>
                <w:szCs w:val="22"/>
              </w:rPr>
              <w:t xml:space="preserve">,7 / </w:t>
            </w:r>
            <w:r w:rsidRPr="00495BE5">
              <w:rPr>
                <w:sz w:val="22"/>
                <w:szCs w:val="22"/>
              </w:rPr>
              <w:t>6,5</w:t>
            </w:r>
            <w:r w:rsidR="003A58A3" w:rsidRPr="00495BE5">
              <w:rPr>
                <w:sz w:val="22"/>
                <w:szCs w:val="22"/>
              </w:rPr>
              <w:t>%</w:t>
            </w:r>
          </w:p>
        </w:tc>
      </w:tr>
      <w:tr w:rsidR="003A58A3" w:rsidRPr="00495BE5" w:rsidTr="00C27E12">
        <w:tc>
          <w:tcPr>
            <w:tcW w:w="2268" w:type="dxa"/>
          </w:tcPr>
          <w:p w:rsidR="003A58A3" w:rsidRPr="00495BE5" w:rsidRDefault="003A58A3" w:rsidP="002E14C6">
            <w:pPr>
              <w:rPr>
                <w:sz w:val="22"/>
                <w:szCs w:val="22"/>
              </w:rPr>
            </w:pPr>
            <w:r w:rsidRPr="00495BE5">
              <w:rPr>
                <w:sz w:val="22"/>
                <w:szCs w:val="22"/>
              </w:rPr>
              <w:t>Национальная бе</w:t>
            </w:r>
            <w:r w:rsidRPr="00495BE5">
              <w:rPr>
                <w:sz w:val="22"/>
                <w:szCs w:val="22"/>
              </w:rPr>
              <w:t>з</w:t>
            </w:r>
            <w:r w:rsidRPr="00495BE5">
              <w:rPr>
                <w:sz w:val="22"/>
                <w:szCs w:val="22"/>
              </w:rPr>
              <w:t>опасность и прав</w:t>
            </w:r>
            <w:r w:rsidRPr="00495BE5">
              <w:rPr>
                <w:sz w:val="22"/>
                <w:szCs w:val="22"/>
              </w:rPr>
              <w:t>о</w:t>
            </w:r>
            <w:r w:rsidRPr="00495BE5">
              <w:rPr>
                <w:sz w:val="22"/>
                <w:szCs w:val="22"/>
              </w:rPr>
              <w:t>охранительная де</w:t>
            </w:r>
            <w:r w:rsidRPr="00495BE5">
              <w:rPr>
                <w:sz w:val="22"/>
                <w:szCs w:val="22"/>
              </w:rPr>
              <w:t>я</w:t>
            </w:r>
            <w:r w:rsidRPr="00495BE5">
              <w:rPr>
                <w:sz w:val="22"/>
                <w:szCs w:val="22"/>
              </w:rPr>
              <w:t>тельность</w:t>
            </w:r>
          </w:p>
        </w:tc>
        <w:tc>
          <w:tcPr>
            <w:tcW w:w="907" w:type="dxa"/>
            <w:vAlign w:val="center"/>
          </w:tcPr>
          <w:p w:rsidR="003A58A3" w:rsidRPr="00495BE5" w:rsidRDefault="003A58A3" w:rsidP="00334E8D">
            <w:pPr>
              <w:jc w:val="center"/>
              <w:rPr>
                <w:sz w:val="22"/>
                <w:szCs w:val="22"/>
              </w:rPr>
            </w:pPr>
            <w:r w:rsidRPr="00495BE5">
              <w:rPr>
                <w:sz w:val="22"/>
                <w:szCs w:val="22"/>
              </w:rPr>
              <w:t>352,5</w:t>
            </w:r>
          </w:p>
        </w:tc>
        <w:tc>
          <w:tcPr>
            <w:tcW w:w="907" w:type="dxa"/>
            <w:vAlign w:val="center"/>
          </w:tcPr>
          <w:p w:rsidR="003A58A3" w:rsidRPr="00495BE5" w:rsidRDefault="003A58A3" w:rsidP="00334E8D">
            <w:pPr>
              <w:jc w:val="center"/>
              <w:rPr>
                <w:sz w:val="22"/>
                <w:szCs w:val="22"/>
              </w:rPr>
            </w:pPr>
            <w:r w:rsidRPr="00495BE5">
              <w:rPr>
                <w:sz w:val="22"/>
                <w:szCs w:val="22"/>
              </w:rPr>
              <w:t>547,2</w:t>
            </w:r>
          </w:p>
        </w:tc>
        <w:tc>
          <w:tcPr>
            <w:tcW w:w="907" w:type="dxa"/>
            <w:vAlign w:val="center"/>
          </w:tcPr>
          <w:p w:rsidR="003A58A3" w:rsidRPr="00495BE5" w:rsidRDefault="00334E8D" w:rsidP="002E14C6">
            <w:pPr>
              <w:jc w:val="center"/>
              <w:rPr>
                <w:sz w:val="22"/>
                <w:szCs w:val="22"/>
              </w:rPr>
            </w:pPr>
            <w:r w:rsidRPr="00495BE5">
              <w:rPr>
                <w:sz w:val="22"/>
                <w:szCs w:val="22"/>
              </w:rPr>
              <w:t>353,5</w:t>
            </w:r>
          </w:p>
        </w:tc>
        <w:tc>
          <w:tcPr>
            <w:tcW w:w="794" w:type="dxa"/>
          </w:tcPr>
          <w:p w:rsidR="003A58A3" w:rsidRPr="00495BE5" w:rsidRDefault="003A58A3" w:rsidP="00334E8D">
            <w:pPr>
              <w:spacing w:before="360"/>
              <w:jc w:val="center"/>
              <w:rPr>
                <w:sz w:val="22"/>
                <w:szCs w:val="22"/>
              </w:rPr>
            </w:pPr>
            <w:r w:rsidRPr="00495BE5">
              <w:rPr>
                <w:sz w:val="22"/>
                <w:szCs w:val="22"/>
              </w:rPr>
              <w:t>3,4%</w:t>
            </w:r>
          </w:p>
        </w:tc>
        <w:tc>
          <w:tcPr>
            <w:tcW w:w="794" w:type="dxa"/>
          </w:tcPr>
          <w:p w:rsidR="003A58A3" w:rsidRPr="00495BE5" w:rsidRDefault="003A58A3" w:rsidP="00334E8D">
            <w:pPr>
              <w:spacing w:before="360"/>
              <w:jc w:val="center"/>
              <w:rPr>
                <w:sz w:val="22"/>
                <w:szCs w:val="22"/>
              </w:rPr>
            </w:pPr>
            <w:r w:rsidRPr="00495BE5">
              <w:rPr>
                <w:sz w:val="22"/>
                <w:szCs w:val="22"/>
              </w:rPr>
              <w:t>3,5%</w:t>
            </w:r>
          </w:p>
        </w:tc>
        <w:tc>
          <w:tcPr>
            <w:tcW w:w="794" w:type="dxa"/>
          </w:tcPr>
          <w:p w:rsidR="003A58A3" w:rsidRPr="00495BE5" w:rsidRDefault="00334E8D" w:rsidP="003D7C34">
            <w:pPr>
              <w:spacing w:before="360"/>
              <w:jc w:val="center"/>
              <w:rPr>
                <w:sz w:val="22"/>
                <w:szCs w:val="22"/>
              </w:rPr>
            </w:pPr>
            <w:r w:rsidRPr="00495BE5">
              <w:rPr>
                <w:sz w:val="22"/>
                <w:szCs w:val="22"/>
              </w:rPr>
              <w:t>2,1%</w:t>
            </w:r>
          </w:p>
        </w:tc>
        <w:tc>
          <w:tcPr>
            <w:tcW w:w="1191" w:type="dxa"/>
            <w:vAlign w:val="center"/>
          </w:tcPr>
          <w:p w:rsidR="003A58A3" w:rsidRPr="00495BE5" w:rsidRDefault="003A58A3" w:rsidP="00334E8D">
            <w:pPr>
              <w:jc w:val="center"/>
              <w:rPr>
                <w:sz w:val="22"/>
                <w:szCs w:val="22"/>
              </w:rPr>
            </w:pPr>
            <w:r w:rsidRPr="00495BE5">
              <w:rPr>
                <w:sz w:val="22"/>
                <w:szCs w:val="22"/>
              </w:rPr>
              <w:t>194,7 / 55,2%</w:t>
            </w:r>
          </w:p>
        </w:tc>
        <w:tc>
          <w:tcPr>
            <w:tcW w:w="1191" w:type="dxa"/>
            <w:vAlign w:val="center"/>
          </w:tcPr>
          <w:p w:rsidR="00334E8D" w:rsidRPr="00495BE5" w:rsidRDefault="00334E8D" w:rsidP="00334E8D">
            <w:pPr>
              <w:jc w:val="center"/>
              <w:rPr>
                <w:sz w:val="22"/>
                <w:szCs w:val="22"/>
              </w:rPr>
            </w:pPr>
            <w:r w:rsidRPr="00495BE5">
              <w:rPr>
                <w:sz w:val="22"/>
                <w:szCs w:val="22"/>
              </w:rPr>
              <w:t>-193,7</w:t>
            </w:r>
            <w:r w:rsidR="003A58A3" w:rsidRPr="00495BE5">
              <w:rPr>
                <w:sz w:val="22"/>
                <w:szCs w:val="22"/>
              </w:rPr>
              <w:t xml:space="preserve"> /</w:t>
            </w:r>
          </w:p>
          <w:p w:rsidR="003A58A3" w:rsidRPr="00495BE5" w:rsidRDefault="003A58A3" w:rsidP="00334E8D">
            <w:pPr>
              <w:jc w:val="center"/>
              <w:rPr>
                <w:sz w:val="22"/>
                <w:szCs w:val="22"/>
              </w:rPr>
            </w:pPr>
            <w:r w:rsidRPr="00495BE5">
              <w:rPr>
                <w:sz w:val="22"/>
                <w:szCs w:val="22"/>
              </w:rPr>
              <w:t xml:space="preserve"> </w:t>
            </w:r>
            <w:r w:rsidR="00334E8D" w:rsidRPr="00495BE5">
              <w:rPr>
                <w:sz w:val="22"/>
                <w:szCs w:val="22"/>
              </w:rPr>
              <w:t>-35,4</w:t>
            </w:r>
            <w:r w:rsidRPr="00495BE5">
              <w:rPr>
                <w:sz w:val="22"/>
                <w:szCs w:val="22"/>
              </w:rPr>
              <w:t>%</w:t>
            </w:r>
          </w:p>
        </w:tc>
      </w:tr>
      <w:tr w:rsidR="003A58A3" w:rsidRPr="00495BE5" w:rsidTr="00C27E12">
        <w:tc>
          <w:tcPr>
            <w:tcW w:w="2268" w:type="dxa"/>
            <w:vAlign w:val="center"/>
          </w:tcPr>
          <w:p w:rsidR="003A58A3" w:rsidRPr="00495BE5" w:rsidRDefault="003A58A3" w:rsidP="00E6053E">
            <w:pPr>
              <w:rPr>
                <w:sz w:val="22"/>
                <w:szCs w:val="22"/>
              </w:rPr>
            </w:pPr>
            <w:r w:rsidRPr="00495BE5">
              <w:rPr>
                <w:sz w:val="22"/>
                <w:szCs w:val="22"/>
              </w:rPr>
              <w:t>Национальная эк</w:t>
            </w:r>
            <w:r w:rsidRPr="00495BE5">
              <w:rPr>
                <w:sz w:val="22"/>
                <w:szCs w:val="22"/>
              </w:rPr>
              <w:t>о</w:t>
            </w:r>
            <w:r w:rsidRPr="00495BE5">
              <w:rPr>
                <w:sz w:val="22"/>
                <w:szCs w:val="22"/>
              </w:rPr>
              <w:t>номика</w:t>
            </w:r>
          </w:p>
        </w:tc>
        <w:tc>
          <w:tcPr>
            <w:tcW w:w="907" w:type="dxa"/>
            <w:vAlign w:val="center"/>
          </w:tcPr>
          <w:p w:rsidR="003A58A3" w:rsidRPr="00495BE5" w:rsidRDefault="003A58A3" w:rsidP="00334E8D">
            <w:pPr>
              <w:jc w:val="center"/>
              <w:rPr>
                <w:sz w:val="22"/>
                <w:szCs w:val="22"/>
              </w:rPr>
            </w:pPr>
            <w:r w:rsidRPr="00495BE5">
              <w:rPr>
                <w:sz w:val="22"/>
                <w:szCs w:val="22"/>
              </w:rPr>
              <w:t>839,9</w:t>
            </w:r>
          </w:p>
        </w:tc>
        <w:tc>
          <w:tcPr>
            <w:tcW w:w="907" w:type="dxa"/>
            <w:vAlign w:val="center"/>
          </w:tcPr>
          <w:p w:rsidR="003A58A3" w:rsidRPr="00495BE5" w:rsidRDefault="003A58A3" w:rsidP="00334E8D">
            <w:pPr>
              <w:jc w:val="center"/>
              <w:rPr>
                <w:sz w:val="22"/>
                <w:szCs w:val="22"/>
              </w:rPr>
            </w:pPr>
            <w:r w:rsidRPr="00495BE5">
              <w:rPr>
                <w:sz w:val="22"/>
                <w:szCs w:val="22"/>
              </w:rPr>
              <w:t>5680,5</w:t>
            </w:r>
          </w:p>
        </w:tc>
        <w:tc>
          <w:tcPr>
            <w:tcW w:w="907" w:type="dxa"/>
            <w:vAlign w:val="center"/>
          </w:tcPr>
          <w:p w:rsidR="003A58A3" w:rsidRPr="00495BE5" w:rsidRDefault="00334E8D" w:rsidP="00406440">
            <w:pPr>
              <w:jc w:val="center"/>
              <w:rPr>
                <w:sz w:val="22"/>
                <w:szCs w:val="22"/>
              </w:rPr>
            </w:pPr>
            <w:r w:rsidRPr="00495BE5">
              <w:rPr>
                <w:sz w:val="22"/>
                <w:szCs w:val="22"/>
              </w:rPr>
              <w:t>4200,1</w:t>
            </w:r>
          </w:p>
        </w:tc>
        <w:tc>
          <w:tcPr>
            <w:tcW w:w="794" w:type="dxa"/>
          </w:tcPr>
          <w:p w:rsidR="003A58A3" w:rsidRPr="00495BE5" w:rsidRDefault="003A58A3" w:rsidP="00334E8D">
            <w:pPr>
              <w:spacing w:before="120"/>
              <w:jc w:val="center"/>
              <w:rPr>
                <w:sz w:val="22"/>
                <w:szCs w:val="22"/>
              </w:rPr>
            </w:pPr>
            <w:r w:rsidRPr="00495BE5">
              <w:rPr>
                <w:sz w:val="22"/>
                <w:szCs w:val="22"/>
              </w:rPr>
              <w:t>8,0%</w:t>
            </w:r>
          </w:p>
        </w:tc>
        <w:tc>
          <w:tcPr>
            <w:tcW w:w="794" w:type="dxa"/>
          </w:tcPr>
          <w:p w:rsidR="003A58A3" w:rsidRPr="00495BE5" w:rsidRDefault="003A58A3" w:rsidP="00334E8D">
            <w:pPr>
              <w:spacing w:before="120"/>
              <w:jc w:val="center"/>
              <w:rPr>
                <w:sz w:val="22"/>
                <w:szCs w:val="22"/>
              </w:rPr>
            </w:pPr>
            <w:r w:rsidRPr="00495BE5">
              <w:rPr>
                <w:sz w:val="22"/>
                <w:szCs w:val="22"/>
              </w:rPr>
              <w:t>36,7%</w:t>
            </w:r>
          </w:p>
        </w:tc>
        <w:tc>
          <w:tcPr>
            <w:tcW w:w="794" w:type="dxa"/>
          </w:tcPr>
          <w:p w:rsidR="003A58A3" w:rsidRPr="00495BE5" w:rsidRDefault="00334E8D" w:rsidP="003D7C34">
            <w:pPr>
              <w:spacing w:before="120"/>
              <w:jc w:val="center"/>
              <w:rPr>
                <w:sz w:val="22"/>
                <w:szCs w:val="22"/>
              </w:rPr>
            </w:pPr>
            <w:r w:rsidRPr="00495BE5">
              <w:rPr>
                <w:sz w:val="22"/>
                <w:szCs w:val="22"/>
              </w:rPr>
              <w:t>25,5%</w:t>
            </w:r>
          </w:p>
        </w:tc>
        <w:tc>
          <w:tcPr>
            <w:tcW w:w="1191" w:type="dxa"/>
            <w:vAlign w:val="center"/>
          </w:tcPr>
          <w:p w:rsidR="003A58A3" w:rsidRPr="00495BE5" w:rsidRDefault="003A58A3" w:rsidP="00334E8D">
            <w:pPr>
              <w:jc w:val="center"/>
              <w:rPr>
                <w:sz w:val="22"/>
                <w:szCs w:val="22"/>
              </w:rPr>
            </w:pPr>
            <w:r w:rsidRPr="00495BE5">
              <w:rPr>
                <w:sz w:val="22"/>
                <w:szCs w:val="22"/>
              </w:rPr>
              <w:t>4840,6 / 6,8 раза</w:t>
            </w:r>
          </w:p>
        </w:tc>
        <w:tc>
          <w:tcPr>
            <w:tcW w:w="1191" w:type="dxa"/>
            <w:vAlign w:val="center"/>
          </w:tcPr>
          <w:p w:rsidR="00495BE5" w:rsidRPr="00495BE5" w:rsidRDefault="00495BE5" w:rsidP="00495BE5">
            <w:pPr>
              <w:jc w:val="center"/>
              <w:rPr>
                <w:sz w:val="22"/>
                <w:szCs w:val="22"/>
              </w:rPr>
            </w:pPr>
            <w:r w:rsidRPr="00495BE5">
              <w:rPr>
                <w:sz w:val="22"/>
                <w:szCs w:val="22"/>
              </w:rPr>
              <w:t>-1480,4</w:t>
            </w:r>
            <w:r w:rsidR="003A58A3" w:rsidRPr="00495BE5">
              <w:rPr>
                <w:sz w:val="22"/>
                <w:szCs w:val="22"/>
              </w:rPr>
              <w:t xml:space="preserve"> / </w:t>
            </w:r>
          </w:p>
          <w:p w:rsidR="003A58A3" w:rsidRPr="00495BE5" w:rsidRDefault="00495BE5" w:rsidP="00495BE5">
            <w:pPr>
              <w:jc w:val="center"/>
              <w:rPr>
                <w:sz w:val="22"/>
                <w:szCs w:val="22"/>
              </w:rPr>
            </w:pPr>
            <w:r w:rsidRPr="00495BE5">
              <w:rPr>
                <w:sz w:val="22"/>
                <w:szCs w:val="22"/>
              </w:rPr>
              <w:t>-26,1%</w:t>
            </w:r>
          </w:p>
        </w:tc>
      </w:tr>
      <w:tr w:rsidR="003A58A3" w:rsidRPr="00495BE5" w:rsidTr="00C27E12">
        <w:tc>
          <w:tcPr>
            <w:tcW w:w="2268" w:type="dxa"/>
            <w:vAlign w:val="center"/>
          </w:tcPr>
          <w:p w:rsidR="003A58A3" w:rsidRPr="00495BE5" w:rsidRDefault="003A58A3" w:rsidP="002E14C6">
            <w:pPr>
              <w:rPr>
                <w:sz w:val="22"/>
                <w:szCs w:val="22"/>
              </w:rPr>
            </w:pPr>
            <w:r w:rsidRPr="00495BE5">
              <w:rPr>
                <w:sz w:val="22"/>
                <w:szCs w:val="22"/>
              </w:rPr>
              <w:t>Жилищно-комму-нальное хозяйство</w:t>
            </w:r>
          </w:p>
        </w:tc>
        <w:tc>
          <w:tcPr>
            <w:tcW w:w="907" w:type="dxa"/>
            <w:vAlign w:val="center"/>
          </w:tcPr>
          <w:p w:rsidR="003A58A3" w:rsidRPr="00495BE5" w:rsidRDefault="003A58A3" w:rsidP="00334E8D">
            <w:pPr>
              <w:jc w:val="center"/>
              <w:rPr>
                <w:sz w:val="22"/>
                <w:szCs w:val="22"/>
              </w:rPr>
            </w:pPr>
            <w:r w:rsidRPr="00495BE5">
              <w:rPr>
                <w:sz w:val="22"/>
                <w:szCs w:val="22"/>
              </w:rPr>
              <w:t>2178,7</w:t>
            </w:r>
          </w:p>
        </w:tc>
        <w:tc>
          <w:tcPr>
            <w:tcW w:w="907" w:type="dxa"/>
            <w:vAlign w:val="center"/>
          </w:tcPr>
          <w:p w:rsidR="003A58A3" w:rsidRPr="00495BE5" w:rsidRDefault="003A58A3" w:rsidP="00334E8D">
            <w:pPr>
              <w:jc w:val="center"/>
              <w:rPr>
                <w:sz w:val="22"/>
                <w:szCs w:val="22"/>
              </w:rPr>
            </w:pPr>
            <w:r w:rsidRPr="00495BE5">
              <w:rPr>
                <w:sz w:val="22"/>
                <w:szCs w:val="22"/>
              </w:rPr>
              <w:t>2521,2</w:t>
            </w:r>
          </w:p>
        </w:tc>
        <w:tc>
          <w:tcPr>
            <w:tcW w:w="907" w:type="dxa"/>
            <w:vAlign w:val="center"/>
          </w:tcPr>
          <w:p w:rsidR="003A58A3" w:rsidRPr="00495BE5" w:rsidRDefault="00334E8D" w:rsidP="00381832">
            <w:pPr>
              <w:jc w:val="center"/>
              <w:rPr>
                <w:sz w:val="22"/>
                <w:szCs w:val="22"/>
              </w:rPr>
            </w:pPr>
            <w:r w:rsidRPr="00495BE5">
              <w:rPr>
                <w:sz w:val="22"/>
                <w:szCs w:val="22"/>
              </w:rPr>
              <w:t>5329,9</w:t>
            </w:r>
          </w:p>
        </w:tc>
        <w:tc>
          <w:tcPr>
            <w:tcW w:w="794" w:type="dxa"/>
          </w:tcPr>
          <w:p w:rsidR="003A58A3" w:rsidRPr="00495BE5" w:rsidRDefault="003A58A3" w:rsidP="00334E8D">
            <w:pPr>
              <w:spacing w:before="120"/>
              <w:jc w:val="center"/>
              <w:rPr>
                <w:sz w:val="22"/>
                <w:szCs w:val="22"/>
              </w:rPr>
            </w:pPr>
            <w:r w:rsidRPr="00495BE5">
              <w:rPr>
                <w:sz w:val="22"/>
                <w:szCs w:val="22"/>
              </w:rPr>
              <w:t>20,8%</w:t>
            </w:r>
          </w:p>
        </w:tc>
        <w:tc>
          <w:tcPr>
            <w:tcW w:w="794" w:type="dxa"/>
          </w:tcPr>
          <w:p w:rsidR="003A58A3" w:rsidRPr="00495BE5" w:rsidRDefault="003A58A3" w:rsidP="00334E8D">
            <w:pPr>
              <w:spacing w:before="120"/>
              <w:jc w:val="center"/>
              <w:rPr>
                <w:sz w:val="22"/>
                <w:szCs w:val="22"/>
              </w:rPr>
            </w:pPr>
            <w:r w:rsidRPr="00495BE5">
              <w:rPr>
                <w:sz w:val="22"/>
                <w:szCs w:val="22"/>
              </w:rPr>
              <w:t>16,3%</w:t>
            </w:r>
          </w:p>
        </w:tc>
        <w:tc>
          <w:tcPr>
            <w:tcW w:w="794" w:type="dxa"/>
          </w:tcPr>
          <w:p w:rsidR="003A58A3" w:rsidRPr="00495BE5" w:rsidRDefault="00334E8D" w:rsidP="00C27E12">
            <w:pPr>
              <w:spacing w:before="120"/>
              <w:jc w:val="center"/>
              <w:rPr>
                <w:sz w:val="22"/>
                <w:szCs w:val="22"/>
              </w:rPr>
            </w:pPr>
            <w:r w:rsidRPr="00495BE5">
              <w:rPr>
                <w:sz w:val="22"/>
                <w:szCs w:val="22"/>
              </w:rPr>
              <w:t>32,3%</w:t>
            </w:r>
          </w:p>
        </w:tc>
        <w:tc>
          <w:tcPr>
            <w:tcW w:w="1191" w:type="dxa"/>
            <w:vAlign w:val="center"/>
          </w:tcPr>
          <w:p w:rsidR="003A58A3" w:rsidRPr="00495BE5" w:rsidRDefault="003A58A3" w:rsidP="00334E8D">
            <w:pPr>
              <w:jc w:val="center"/>
              <w:rPr>
                <w:sz w:val="22"/>
                <w:szCs w:val="22"/>
              </w:rPr>
            </w:pPr>
            <w:r w:rsidRPr="00495BE5">
              <w:rPr>
                <w:sz w:val="22"/>
                <w:szCs w:val="22"/>
              </w:rPr>
              <w:t>342,5 / 15,7%</w:t>
            </w:r>
          </w:p>
        </w:tc>
        <w:tc>
          <w:tcPr>
            <w:tcW w:w="1191" w:type="dxa"/>
            <w:vAlign w:val="center"/>
          </w:tcPr>
          <w:p w:rsidR="003A58A3" w:rsidRPr="00495BE5" w:rsidRDefault="00495BE5" w:rsidP="00495BE5">
            <w:pPr>
              <w:jc w:val="center"/>
              <w:rPr>
                <w:sz w:val="22"/>
                <w:szCs w:val="22"/>
              </w:rPr>
            </w:pPr>
            <w:r>
              <w:rPr>
                <w:sz w:val="22"/>
                <w:szCs w:val="22"/>
              </w:rPr>
              <w:t>2808,7</w:t>
            </w:r>
            <w:r w:rsidR="003A58A3" w:rsidRPr="00495BE5">
              <w:rPr>
                <w:sz w:val="22"/>
                <w:szCs w:val="22"/>
              </w:rPr>
              <w:t xml:space="preserve"> / </w:t>
            </w:r>
            <w:r>
              <w:rPr>
                <w:sz w:val="22"/>
                <w:szCs w:val="22"/>
              </w:rPr>
              <w:t>111,4</w:t>
            </w:r>
            <w:r w:rsidR="003A58A3" w:rsidRPr="00495BE5">
              <w:rPr>
                <w:sz w:val="22"/>
                <w:szCs w:val="22"/>
              </w:rPr>
              <w:t>%</w:t>
            </w:r>
          </w:p>
        </w:tc>
      </w:tr>
      <w:tr w:rsidR="003A58A3" w:rsidRPr="00495BE5" w:rsidTr="00C27E12">
        <w:tc>
          <w:tcPr>
            <w:tcW w:w="2268" w:type="dxa"/>
            <w:vAlign w:val="center"/>
          </w:tcPr>
          <w:p w:rsidR="003A58A3" w:rsidRPr="00495BE5" w:rsidRDefault="003A58A3" w:rsidP="002E14C6">
            <w:pPr>
              <w:rPr>
                <w:sz w:val="22"/>
                <w:szCs w:val="22"/>
              </w:rPr>
            </w:pPr>
            <w:r w:rsidRPr="00495BE5">
              <w:rPr>
                <w:sz w:val="22"/>
                <w:szCs w:val="22"/>
              </w:rPr>
              <w:t>Культура, кинемат</w:t>
            </w:r>
            <w:r w:rsidRPr="00495BE5">
              <w:rPr>
                <w:sz w:val="22"/>
                <w:szCs w:val="22"/>
              </w:rPr>
              <w:t>о</w:t>
            </w:r>
            <w:r w:rsidRPr="00495BE5">
              <w:rPr>
                <w:sz w:val="22"/>
                <w:szCs w:val="22"/>
              </w:rPr>
              <w:t>графия</w:t>
            </w:r>
          </w:p>
        </w:tc>
        <w:tc>
          <w:tcPr>
            <w:tcW w:w="907" w:type="dxa"/>
            <w:vAlign w:val="center"/>
          </w:tcPr>
          <w:p w:rsidR="003A58A3" w:rsidRPr="00495BE5" w:rsidRDefault="003A58A3" w:rsidP="00334E8D">
            <w:pPr>
              <w:jc w:val="center"/>
              <w:rPr>
                <w:sz w:val="22"/>
                <w:szCs w:val="22"/>
              </w:rPr>
            </w:pPr>
            <w:r w:rsidRPr="00495BE5">
              <w:rPr>
                <w:sz w:val="22"/>
                <w:szCs w:val="22"/>
              </w:rPr>
              <w:t>4693,2</w:t>
            </w:r>
          </w:p>
        </w:tc>
        <w:tc>
          <w:tcPr>
            <w:tcW w:w="907" w:type="dxa"/>
            <w:vAlign w:val="center"/>
          </w:tcPr>
          <w:p w:rsidR="003A58A3" w:rsidRPr="00495BE5" w:rsidRDefault="003A58A3" w:rsidP="00334E8D">
            <w:pPr>
              <w:jc w:val="center"/>
              <w:rPr>
                <w:sz w:val="22"/>
                <w:szCs w:val="22"/>
              </w:rPr>
            </w:pPr>
            <w:r w:rsidRPr="00495BE5">
              <w:rPr>
                <w:sz w:val="22"/>
                <w:szCs w:val="22"/>
              </w:rPr>
              <w:t>4327,1</w:t>
            </w:r>
          </w:p>
        </w:tc>
        <w:tc>
          <w:tcPr>
            <w:tcW w:w="907" w:type="dxa"/>
            <w:vAlign w:val="center"/>
          </w:tcPr>
          <w:p w:rsidR="003A58A3" w:rsidRPr="00495BE5" w:rsidRDefault="00334E8D" w:rsidP="002E14C6">
            <w:pPr>
              <w:jc w:val="center"/>
              <w:rPr>
                <w:sz w:val="22"/>
                <w:szCs w:val="22"/>
              </w:rPr>
            </w:pPr>
            <w:r w:rsidRPr="00495BE5">
              <w:rPr>
                <w:sz w:val="22"/>
                <w:szCs w:val="22"/>
              </w:rPr>
              <w:t>3823,0</w:t>
            </w:r>
          </w:p>
        </w:tc>
        <w:tc>
          <w:tcPr>
            <w:tcW w:w="794" w:type="dxa"/>
          </w:tcPr>
          <w:p w:rsidR="003A58A3" w:rsidRPr="00495BE5" w:rsidRDefault="003A58A3" w:rsidP="00334E8D">
            <w:pPr>
              <w:spacing w:before="120"/>
              <w:jc w:val="center"/>
              <w:rPr>
                <w:sz w:val="22"/>
                <w:szCs w:val="22"/>
              </w:rPr>
            </w:pPr>
            <w:r w:rsidRPr="00495BE5">
              <w:rPr>
                <w:sz w:val="22"/>
                <w:szCs w:val="22"/>
              </w:rPr>
              <w:t>44,9%</w:t>
            </w:r>
          </w:p>
        </w:tc>
        <w:tc>
          <w:tcPr>
            <w:tcW w:w="794" w:type="dxa"/>
          </w:tcPr>
          <w:p w:rsidR="003A58A3" w:rsidRPr="00495BE5" w:rsidRDefault="003A58A3" w:rsidP="00334E8D">
            <w:pPr>
              <w:spacing w:before="120"/>
              <w:jc w:val="center"/>
              <w:rPr>
                <w:sz w:val="22"/>
                <w:szCs w:val="22"/>
              </w:rPr>
            </w:pPr>
            <w:r w:rsidRPr="00495BE5">
              <w:rPr>
                <w:sz w:val="22"/>
                <w:szCs w:val="22"/>
              </w:rPr>
              <w:t>27,9%</w:t>
            </w:r>
          </w:p>
        </w:tc>
        <w:tc>
          <w:tcPr>
            <w:tcW w:w="794" w:type="dxa"/>
          </w:tcPr>
          <w:p w:rsidR="003A58A3" w:rsidRPr="00495BE5" w:rsidRDefault="00334E8D" w:rsidP="003D7C34">
            <w:pPr>
              <w:spacing w:before="120"/>
              <w:jc w:val="center"/>
              <w:rPr>
                <w:sz w:val="22"/>
                <w:szCs w:val="22"/>
              </w:rPr>
            </w:pPr>
            <w:r w:rsidRPr="00495BE5">
              <w:rPr>
                <w:sz w:val="22"/>
                <w:szCs w:val="22"/>
              </w:rPr>
              <w:t>23,2%</w:t>
            </w:r>
          </w:p>
        </w:tc>
        <w:tc>
          <w:tcPr>
            <w:tcW w:w="1191" w:type="dxa"/>
            <w:vAlign w:val="center"/>
          </w:tcPr>
          <w:p w:rsidR="003A58A3" w:rsidRPr="00495BE5" w:rsidRDefault="003A58A3" w:rsidP="00334E8D">
            <w:pPr>
              <w:jc w:val="center"/>
              <w:rPr>
                <w:sz w:val="22"/>
                <w:szCs w:val="22"/>
              </w:rPr>
            </w:pPr>
            <w:r w:rsidRPr="00495BE5">
              <w:rPr>
                <w:sz w:val="22"/>
                <w:szCs w:val="22"/>
              </w:rPr>
              <w:t xml:space="preserve">-366,1 / </w:t>
            </w:r>
          </w:p>
          <w:p w:rsidR="003A58A3" w:rsidRPr="00495BE5" w:rsidRDefault="003A58A3" w:rsidP="00334E8D">
            <w:pPr>
              <w:jc w:val="center"/>
              <w:rPr>
                <w:sz w:val="22"/>
                <w:szCs w:val="22"/>
              </w:rPr>
            </w:pPr>
            <w:r w:rsidRPr="00495BE5">
              <w:rPr>
                <w:sz w:val="22"/>
                <w:szCs w:val="22"/>
              </w:rPr>
              <w:t>-7,8%</w:t>
            </w:r>
          </w:p>
        </w:tc>
        <w:tc>
          <w:tcPr>
            <w:tcW w:w="1191" w:type="dxa"/>
            <w:vAlign w:val="center"/>
          </w:tcPr>
          <w:p w:rsidR="003A58A3" w:rsidRPr="00495BE5" w:rsidRDefault="003A58A3" w:rsidP="00C27E12">
            <w:pPr>
              <w:jc w:val="center"/>
              <w:rPr>
                <w:sz w:val="22"/>
                <w:szCs w:val="22"/>
              </w:rPr>
            </w:pPr>
            <w:r w:rsidRPr="00495BE5">
              <w:rPr>
                <w:sz w:val="22"/>
                <w:szCs w:val="22"/>
              </w:rPr>
              <w:t>-</w:t>
            </w:r>
            <w:r w:rsidR="00495BE5">
              <w:rPr>
                <w:sz w:val="22"/>
                <w:szCs w:val="22"/>
              </w:rPr>
              <w:t>504</w:t>
            </w:r>
            <w:r w:rsidRPr="00495BE5">
              <w:rPr>
                <w:sz w:val="22"/>
                <w:szCs w:val="22"/>
              </w:rPr>
              <w:t xml:space="preserve">,1 / </w:t>
            </w:r>
          </w:p>
          <w:p w:rsidR="003A58A3" w:rsidRPr="00495BE5" w:rsidRDefault="003A58A3" w:rsidP="00495BE5">
            <w:pPr>
              <w:jc w:val="center"/>
              <w:rPr>
                <w:sz w:val="22"/>
                <w:szCs w:val="22"/>
              </w:rPr>
            </w:pPr>
            <w:r w:rsidRPr="00495BE5">
              <w:rPr>
                <w:sz w:val="22"/>
                <w:szCs w:val="22"/>
              </w:rPr>
              <w:t>-</w:t>
            </w:r>
            <w:r w:rsidR="00495BE5">
              <w:rPr>
                <w:sz w:val="22"/>
                <w:szCs w:val="22"/>
              </w:rPr>
              <w:t>11,6</w:t>
            </w:r>
            <w:r w:rsidRPr="00495BE5">
              <w:rPr>
                <w:sz w:val="22"/>
                <w:szCs w:val="22"/>
              </w:rPr>
              <w:t>%</w:t>
            </w:r>
          </w:p>
        </w:tc>
      </w:tr>
      <w:tr w:rsidR="003A58A3" w:rsidRPr="00495BE5" w:rsidTr="00C27E12">
        <w:tc>
          <w:tcPr>
            <w:tcW w:w="2268" w:type="dxa"/>
          </w:tcPr>
          <w:p w:rsidR="003A58A3" w:rsidRPr="00495BE5" w:rsidRDefault="003A58A3" w:rsidP="00C27E12">
            <w:pPr>
              <w:spacing w:before="120"/>
              <w:rPr>
                <w:sz w:val="22"/>
                <w:szCs w:val="22"/>
              </w:rPr>
            </w:pPr>
            <w:r w:rsidRPr="00495BE5">
              <w:rPr>
                <w:sz w:val="22"/>
                <w:szCs w:val="22"/>
              </w:rPr>
              <w:t>Социальная политика</w:t>
            </w:r>
          </w:p>
        </w:tc>
        <w:tc>
          <w:tcPr>
            <w:tcW w:w="907" w:type="dxa"/>
            <w:vAlign w:val="center"/>
          </w:tcPr>
          <w:p w:rsidR="003A58A3" w:rsidRPr="00495BE5" w:rsidRDefault="003A58A3" w:rsidP="00334E8D">
            <w:pPr>
              <w:jc w:val="center"/>
              <w:rPr>
                <w:sz w:val="22"/>
                <w:szCs w:val="22"/>
              </w:rPr>
            </w:pPr>
            <w:r w:rsidRPr="00495BE5">
              <w:rPr>
                <w:sz w:val="22"/>
                <w:szCs w:val="22"/>
              </w:rPr>
              <w:t>107,1</w:t>
            </w:r>
          </w:p>
        </w:tc>
        <w:tc>
          <w:tcPr>
            <w:tcW w:w="907" w:type="dxa"/>
            <w:vAlign w:val="center"/>
          </w:tcPr>
          <w:p w:rsidR="003A58A3" w:rsidRPr="00495BE5" w:rsidRDefault="003A58A3" w:rsidP="00334E8D">
            <w:pPr>
              <w:jc w:val="center"/>
              <w:rPr>
                <w:sz w:val="22"/>
                <w:szCs w:val="22"/>
              </w:rPr>
            </w:pPr>
            <w:r w:rsidRPr="00495BE5">
              <w:rPr>
                <w:sz w:val="22"/>
                <w:szCs w:val="22"/>
              </w:rPr>
              <w:t>123,5</w:t>
            </w:r>
          </w:p>
        </w:tc>
        <w:tc>
          <w:tcPr>
            <w:tcW w:w="907" w:type="dxa"/>
            <w:vAlign w:val="center"/>
          </w:tcPr>
          <w:p w:rsidR="003A58A3" w:rsidRPr="00495BE5" w:rsidRDefault="00334E8D" w:rsidP="0041550B">
            <w:pPr>
              <w:jc w:val="center"/>
              <w:rPr>
                <w:sz w:val="22"/>
                <w:szCs w:val="22"/>
              </w:rPr>
            </w:pPr>
            <w:r w:rsidRPr="00495BE5">
              <w:rPr>
                <w:sz w:val="22"/>
                <w:szCs w:val="22"/>
              </w:rPr>
              <w:t>146,4</w:t>
            </w:r>
          </w:p>
        </w:tc>
        <w:tc>
          <w:tcPr>
            <w:tcW w:w="794" w:type="dxa"/>
          </w:tcPr>
          <w:p w:rsidR="003A58A3" w:rsidRPr="00495BE5" w:rsidRDefault="003A58A3" w:rsidP="00334E8D">
            <w:pPr>
              <w:spacing w:before="120"/>
              <w:jc w:val="center"/>
              <w:rPr>
                <w:sz w:val="22"/>
                <w:szCs w:val="22"/>
              </w:rPr>
            </w:pPr>
            <w:r w:rsidRPr="00495BE5">
              <w:rPr>
                <w:sz w:val="22"/>
                <w:szCs w:val="22"/>
              </w:rPr>
              <w:t>1,0%</w:t>
            </w:r>
          </w:p>
        </w:tc>
        <w:tc>
          <w:tcPr>
            <w:tcW w:w="794" w:type="dxa"/>
          </w:tcPr>
          <w:p w:rsidR="003A58A3" w:rsidRPr="00495BE5" w:rsidRDefault="003A58A3" w:rsidP="00334E8D">
            <w:pPr>
              <w:spacing w:before="120"/>
              <w:jc w:val="center"/>
              <w:rPr>
                <w:sz w:val="22"/>
                <w:szCs w:val="22"/>
              </w:rPr>
            </w:pPr>
            <w:r w:rsidRPr="00495BE5">
              <w:rPr>
                <w:sz w:val="22"/>
                <w:szCs w:val="22"/>
              </w:rPr>
              <w:t>0,8%</w:t>
            </w:r>
          </w:p>
        </w:tc>
        <w:tc>
          <w:tcPr>
            <w:tcW w:w="794" w:type="dxa"/>
          </w:tcPr>
          <w:p w:rsidR="003A58A3" w:rsidRPr="00495BE5" w:rsidRDefault="00334E8D" w:rsidP="00C27E12">
            <w:pPr>
              <w:spacing w:before="120"/>
              <w:jc w:val="center"/>
              <w:rPr>
                <w:sz w:val="22"/>
                <w:szCs w:val="22"/>
              </w:rPr>
            </w:pPr>
            <w:r w:rsidRPr="00495BE5">
              <w:rPr>
                <w:sz w:val="22"/>
                <w:szCs w:val="22"/>
              </w:rPr>
              <w:t>0,9%</w:t>
            </w:r>
          </w:p>
        </w:tc>
        <w:tc>
          <w:tcPr>
            <w:tcW w:w="1191" w:type="dxa"/>
            <w:vAlign w:val="center"/>
          </w:tcPr>
          <w:p w:rsidR="003A58A3" w:rsidRPr="00495BE5" w:rsidRDefault="003A58A3" w:rsidP="00334E8D">
            <w:pPr>
              <w:jc w:val="center"/>
              <w:rPr>
                <w:sz w:val="22"/>
                <w:szCs w:val="22"/>
              </w:rPr>
            </w:pPr>
            <w:r w:rsidRPr="00495BE5">
              <w:rPr>
                <w:sz w:val="22"/>
                <w:szCs w:val="22"/>
              </w:rPr>
              <w:t>16,4 / 15,3%</w:t>
            </w:r>
          </w:p>
        </w:tc>
        <w:tc>
          <w:tcPr>
            <w:tcW w:w="1191" w:type="dxa"/>
            <w:vAlign w:val="center"/>
          </w:tcPr>
          <w:p w:rsidR="003A58A3" w:rsidRPr="00495BE5" w:rsidRDefault="00495BE5" w:rsidP="00495BE5">
            <w:pPr>
              <w:jc w:val="center"/>
              <w:rPr>
                <w:sz w:val="22"/>
                <w:szCs w:val="22"/>
              </w:rPr>
            </w:pPr>
            <w:r>
              <w:rPr>
                <w:sz w:val="22"/>
                <w:szCs w:val="22"/>
              </w:rPr>
              <w:t>22,9</w:t>
            </w:r>
            <w:r w:rsidR="003A58A3" w:rsidRPr="00495BE5">
              <w:rPr>
                <w:sz w:val="22"/>
                <w:szCs w:val="22"/>
              </w:rPr>
              <w:t xml:space="preserve"> / </w:t>
            </w:r>
            <w:r>
              <w:rPr>
                <w:sz w:val="22"/>
                <w:szCs w:val="22"/>
              </w:rPr>
              <w:t>18,5</w:t>
            </w:r>
            <w:r w:rsidR="003A58A3" w:rsidRPr="00495BE5">
              <w:rPr>
                <w:sz w:val="22"/>
                <w:szCs w:val="22"/>
              </w:rPr>
              <w:t>%</w:t>
            </w:r>
          </w:p>
        </w:tc>
      </w:tr>
      <w:tr w:rsidR="003A58A3" w:rsidRPr="00495BE5" w:rsidTr="00C27E12">
        <w:tc>
          <w:tcPr>
            <w:tcW w:w="2268" w:type="dxa"/>
          </w:tcPr>
          <w:p w:rsidR="003A58A3" w:rsidRPr="00495BE5" w:rsidRDefault="003A58A3" w:rsidP="004B6B0C">
            <w:pPr>
              <w:spacing w:before="120"/>
              <w:rPr>
                <w:b/>
                <w:sz w:val="22"/>
                <w:szCs w:val="22"/>
              </w:rPr>
            </w:pPr>
            <w:r w:rsidRPr="00495BE5">
              <w:rPr>
                <w:b/>
                <w:sz w:val="22"/>
                <w:szCs w:val="22"/>
              </w:rPr>
              <w:t>Итого расходов</w:t>
            </w:r>
          </w:p>
        </w:tc>
        <w:tc>
          <w:tcPr>
            <w:tcW w:w="907" w:type="dxa"/>
            <w:vAlign w:val="center"/>
          </w:tcPr>
          <w:p w:rsidR="003A58A3" w:rsidRPr="00495BE5" w:rsidRDefault="003A58A3" w:rsidP="00334E8D">
            <w:pPr>
              <w:jc w:val="center"/>
              <w:rPr>
                <w:b/>
                <w:sz w:val="21"/>
                <w:szCs w:val="21"/>
              </w:rPr>
            </w:pPr>
            <w:r w:rsidRPr="00495BE5">
              <w:rPr>
                <w:b/>
                <w:sz w:val="21"/>
                <w:szCs w:val="21"/>
              </w:rPr>
              <w:t>10461,7</w:t>
            </w:r>
          </w:p>
        </w:tc>
        <w:tc>
          <w:tcPr>
            <w:tcW w:w="907" w:type="dxa"/>
            <w:vAlign w:val="center"/>
          </w:tcPr>
          <w:p w:rsidR="003A58A3" w:rsidRPr="00495BE5" w:rsidRDefault="003A58A3" w:rsidP="00334E8D">
            <w:pPr>
              <w:jc w:val="center"/>
              <w:rPr>
                <w:b/>
                <w:sz w:val="21"/>
                <w:szCs w:val="21"/>
              </w:rPr>
            </w:pPr>
            <w:r w:rsidRPr="00495BE5">
              <w:rPr>
                <w:b/>
                <w:sz w:val="21"/>
                <w:szCs w:val="21"/>
              </w:rPr>
              <w:t>15490,2</w:t>
            </w:r>
          </w:p>
        </w:tc>
        <w:tc>
          <w:tcPr>
            <w:tcW w:w="907" w:type="dxa"/>
            <w:vAlign w:val="center"/>
          </w:tcPr>
          <w:p w:rsidR="003A58A3" w:rsidRPr="00495BE5" w:rsidRDefault="00334E8D" w:rsidP="002E14C6">
            <w:pPr>
              <w:jc w:val="center"/>
              <w:rPr>
                <w:b/>
                <w:sz w:val="21"/>
                <w:szCs w:val="21"/>
              </w:rPr>
            </w:pPr>
            <w:r w:rsidRPr="00495BE5">
              <w:rPr>
                <w:b/>
                <w:sz w:val="21"/>
                <w:szCs w:val="21"/>
              </w:rPr>
              <w:t>16497,3</w:t>
            </w:r>
          </w:p>
        </w:tc>
        <w:tc>
          <w:tcPr>
            <w:tcW w:w="794" w:type="dxa"/>
            <w:vAlign w:val="center"/>
          </w:tcPr>
          <w:p w:rsidR="003A58A3" w:rsidRPr="00495BE5" w:rsidRDefault="003A58A3" w:rsidP="002E14C6">
            <w:pPr>
              <w:jc w:val="center"/>
              <w:rPr>
                <w:b/>
                <w:sz w:val="22"/>
                <w:szCs w:val="22"/>
              </w:rPr>
            </w:pPr>
            <w:r w:rsidRPr="00495BE5">
              <w:rPr>
                <w:b/>
                <w:sz w:val="22"/>
                <w:szCs w:val="22"/>
              </w:rPr>
              <w:t>100%</w:t>
            </w:r>
          </w:p>
        </w:tc>
        <w:tc>
          <w:tcPr>
            <w:tcW w:w="794" w:type="dxa"/>
            <w:vAlign w:val="center"/>
          </w:tcPr>
          <w:p w:rsidR="003A58A3" w:rsidRPr="00495BE5" w:rsidRDefault="003A58A3" w:rsidP="002E14C6">
            <w:pPr>
              <w:jc w:val="center"/>
              <w:rPr>
                <w:b/>
                <w:sz w:val="22"/>
                <w:szCs w:val="22"/>
              </w:rPr>
            </w:pPr>
            <w:r w:rsidRPr="00495BE5">
              <w:rPr>
                <w:b/>
                <w:sz w:val="22"/>
                <w:szCs w:val="22"/>
              </w:rPr>
              <w:t>100%</w:t>
            </w:r>
          </w:p>
        </w:tc>
        <w:tc>
          <w:tcPr>
            <w:tcW w:w="794" w:type="dxa"/>
            <w:vAlign w:val="center"/>
          </w:tcPr>
          <w:p w:rsidR="003A58A3" w:rsidRPr="00495BE5" w:rsidRDefault="003A58A3" w:rsidP="002E14C6">
            <w:pPr>
              <w:jc w:val="center"/>
              <w:rPr>
                <w:b/>
                <w:sz w:val="22"/>
                <w:szCs w:val="22"/>
              </w:rPr>
            </w:pPr>
            <w:r w:rsidRPr="00495BE5">
              <w:rPr>
                <w:b/>
                <w:sz w:val="22"/>
                <w:szCs w:val="22"/>
              </w:rPr>
              <w:t>100%</w:t>
            </w:r>
          </w:p>
        </w:tc>
        <w:tc>
          <w:tcPr>
            <w:tcW w:w="1191" w:type="dxa"/>
            <w:vAlign w:val="center"/>
          </w:tcPr>
          <w:p w:rsidR="003A58A3" w:rsidRPr="00495BE5" w:rsidRDefault="003A58A3" w:rsidP="00334E8D">
            <w:pPr>
              <w:jc w:val="center"/>
              <w:rPr>
                <w:b/>
                <w:sz w:val="22"/>
                <w:szCs w:val="22"/>
              </w:rPr>
            </w:pPr>
            <w:r w:rsidRPr="00495BE5">
              <w:rPr>
                <w:b/>
                <w:sz w:val="22"/>
                <w:szCs w:val="22"/>
              </w:rPr>
              <w:t>5028,5 / 48,1%</w:t>
            </w:r>
          </w:p>
        </w:tc>
        <w:tc>
          <w:tcPr>
            <w:tcW w:w="1191" w:type="dxa"/>
            <w:vAlign w:val="center"/>
          </w:tcPr>
          <w:p w:rsidR="003A58A3" w:rsidRPr="00495BE5" w:rsidRDefault="00495BE5" w:rsidP="00495BE5">
            <w:pPr>
              <w:jc w:val="center"/>
              <w:rPr>
                <w:b/>
                <w:sz w:val="22"/>
                <w:szCs w:val="22"/>
              </w:rPr>
            </w:pPr>
            <w:r>
              <w:rPr>
                <w:b/>
                <w:sz w:val="22"/>
                <w:szCs w:val="22"/>
              </w:rPr>
              <w:t>1007,1</w:t>
            </w:r>
            <w:r w:rsidR="003A58A3" w:rsidRPr="00495BE5">
              <w:rPr>
                <w:b/>
                <w:sz w:val="22"/>
                <w:szCs w:val="22"/>
              </w:rPr>
              <w:t xml:space="preserve"> / </w:t>
            </w:r>
            <w:r>
              <w:rPr>
                <w:b/>
                <w:sz w:val="22"/>
                <w:szCs w:val="22"/>
              </w:rPr>
              <w:t>6,5</w:t>
            </w:r>
            <w:r w:rsidR="003A58A3" w:rsidRPr="00495BE5">
              <w:rPr>
                <w:b/>
                <w:sz w:val="22"/>
                <w:szCs w:val="22"/>
              </w:rPr>
              <w:t>%</w:t>
            </w:r>
          </w:p>
        </w:tc>
      </w:tr>
    </w:tbl>
    <w:p w:rsidR="004A13B7" w:rsidRPr="0029403D" w:rsidRDefault="004A13B7" w:rsidP="00D85D04">
      <w:pPr>
        <w:spacing w:before="120"/>
        <w:ind w:firstLine="567"/>
        <w:jc w:val="both"/>
      </w:pPr>
      <w:r w:rsidRPr="0029403D">
        <w:rPr>
          <w:b/>
        </w:rPr>
        <w:t xml:space="preserve">По разделу 01 «Общегосударственные вопросы» </w:t>
      </w:r>
      <w:r w:rsidRPr="0029403D">
        <w:t xml:space="preserve">расходы в </w:t>
      </w:r>
      <w:r w:rsidR="003A58A3">
        <w:t>2015</w:t>
      </w:r>
      <w:r w:rsidRPr="0029403D">
        <w:t xml:space="preserve"> году </w:t>
      </w:r>
      <w:r w:rsidR="002D3343" w:rsidRPr="0029403D">
        <w:t>исполнены</w:t>
      </w:r>
      <w:r w:rsidRPr="0029403D">
        <w:t xml:space="preserve"> в объёме </w:t>
      </w:r>
      <w:r w:rsidR="00495BE5">
        <w:t>2567</w:t>
      </w:r>
      <w:r w:rsidR="000651EC">
        <w:t>,0</w:t>
      </w:r>
      <w:r w:rsidR="000C4655">
        <w:t xml:space="preserve"> </w:t>
      </w:r>
      <w:r w:rsidRPr="0029403D">
        <w:t>тыс. руб.</w:t>
      </w:r>
      <w:r w:rsidR="00A915EB" w:rsidRPr="0029403D">
        <w:t xml:space="preserve"> или </w:t>
      </w:r>
      <w:r w:rsidR="00495BE5">
        <w:t>99,1</w:t>
      </w:r>
      <w:r w:rsidR="00A915EB" w:rsidRPr="0029403D">
        <w:t>%</w:t>
      </w:r>
      <w:r w:rsidR="00695ACA" w:rsidRPr="0029403D">
        <w:t xml:space="preserve"> к плану</w:t>
      </w:r>
      <w:r w:rsidR="000C4655">
        <w:t xml:space="preserve"> </w:t>
      </w:r>
      <w:r w:rsidR="00A81EBD" w:rsidRPr="0029403D">
        <w:t>(</w:t>
      </w:r>
      <w:r w:rsidR="00D01A8F">
        <w:t>недоисполнение</w:t>
      </w:r>
      <w:r w:rsidR="00A81EBD" w:rsidRPr="0029403D">
        <w:t xml:space="preserve"> – </w:t>
      </w:r>
      <w:r w:rsidR="00495BE5">
        <w:t>24,1</w:t>
      </w:r>
      <w:r w:rsidR="00A81EBD" w:rsidRPr="0029403D">
        <w:t xml:space="preserve"> тыс. руб.)</w:t>
      </w:r>
      <w:r w:rsidRPr="0029403D">
        <w:t>.</w:t>
      </w:r>
      <w:r w:rsidR="002619DE" w:rsidRPr="0029403D">
        <w:t xml:space="preserve"> Удельный вес раздела в расходах бюджета составил </w:t>
      </w:r>
      <w:r w:rsidR="00495BE5">
        <w:t>15,6</w:t>
      </w:r>
      <w:r w:rsidR="002619DE" w:rsidRPr="0029403D">
        <w:t>%.</w:t>
      </w:r>
    </w:p>
    <w:p w:rsidR="000651EC" w:rsidRPr="000616E7" w:rsidRDefault="000651EC" w:rsidP="00D41C3A">
      <w:pPr>
        <w:spacing w:before="40"/>
        <w:ind w:firstLine="567"/>
        <w:jc w:val="both"/>
        <w:rPr>
          <w:b/>
          <w:i/>
          <w:spacing w:val="-2"/>
        </w:rPr>
      </w:pPr>
      <w:r w:rsidRPr="000616E7">
        <w:rPr>
          <w:spacing w:val="-2"/>
        </w:rPr>
        <w:lastRenderedPageBreak/>
        <w:t xml:space="preserve">При анализе исполнения местного бюджета за </w:t>
      </w:r>
      <w:r w:rsidR="003A58A3">
        <w:rPr>
          <w:spacing w:val="-2"/>
        </w:rPr>
        <w:t>2014</w:t>
      </w:r>
      <w:r w:rsidRPr="000616E7">
        <w:rPr>
          <w:spacing w:val="-2"/>
        </w:rPr>
        <w:t xml:space="preserve"> год установлено, что расходы на с</w:t>
      </w:r>
      <w:r w:rsidRPr="000616E7">
        <w:rPr>
          <w:spacing w:val="-2"/>
        </w:rPr>
        <w:t>о</w:t>
      </w:r>
      <w:r w:rsidRPr="000616E7">
        <w:rPr>
          <w:spacing w:val="-2"/>
        </w:rPr>
        <w:t xml:space="preserve">держание главы муниципального образования в объёме </w:t>
      </w:r>
      <w:r w:rsidR="00495BE5">
        <w:rPr>
          <w:spacing w:val="-2"/>
        </w:rPr>
        <w:t>463595</w:t>
      </w:r>
      <w:r w:rsidRPr="000616E7">
        <w:rPr>
          <w:spacing w:val="-2"/>
        </w:rPr>
        <w:t xml:space="preserve"> руб. соответствуют нормативу 464285 руб., установленному постановлением администрации Новосибирской области от 28.12.2007 № 206-па.</w:t>
      </w:r>
    </w:p>
    <w:p w:rsidR="00D41C3A" w:rsidRPr="00E50D4D" w:rsidRDefault="00D41C3A" w:rsidP="00D41C3A">
      <w:pPr>
        <w:spacing w:before="40"/>
        <w:ind w:firstLine="567"/>
        <w:jc w:val="both"/>
        <w:rPr>
          <w:spacing w:val="-2"/>
        </w:rPr>
      </w:pPr>
      <w:r>
        <w:rPr>
          <w:spacing w:val="-2"/>
        </w:rPr>
        <w:t>Проанализированы р</w:t>
      </w:r>
      <w:r w:rsidRPr="00E50D4D">
        <w:rPr>
          <w:spacing w:val="-2"/>
        </w:rPr>
        <w:t xml:space="preserve">асходы на содержание органов местного самоуправления </w:t>
      </w:r>
      <w:r>
        <w:rPr>
          <w:spacing w:val="-2"/>
        </w:rPr>
        <w:t>на соо</w:t>
      </w:r>
      <w:r>
        <w:rPr>
          <w:spacing w:val="-2"/>
        </w:rPr>
        <w:t>т</w:t>
      </w:r>
      <w:r>
        <w:rPr>
          <w:spacing w:val="-2"/>
        </w:rPr>
        <w:t>ветствие</w:t>
      </w:r>
      <w:r w:rsidRPr="00E50D4D">
        <w:rPr>
          <w:spacing w:val="-2"/>
        </w:rPr>
        <w:t xml:space="preserve"> нормативу, установленному постановлением администрации Новосибирской области от 28.12.2007 № 206-па</w:t>
      </w:r>
      <w:r>
        <w:rPr>
          <w:spacing w:val="-2"/>
        </w:rPr>
        <w:t>.</w:t>
      </w:r>
    </w:p>
    <w:p w:rsidR="000651EC" w:rsidRPr="00E50D4D" w:rsidRDefault="000651EC" w:rsidP="00D41C3A">
      <w:pPr>
        <w:spacing w:before="40"/>
        <w:ind w:firstLine="567"/>
        <w:jc w:val="both"/>
      </w:pPr>
      <w:r>
        <w:t xml:space="preserve">Фактические расходы составляют </w:t>
      </w:r>
      <w:r w:rsidR="00495BE5">
        <w:t>1568,8</w:t>
      </w:r>
      <w:r>
        <w:t xml:space="preserve"> тыс. руб., не включаются в норматив </w:t>
      </w:r>
      <w:r w:rsidRPr="00E50D4D">
        <w:rPr>
          <w:spacing w:val="-2"/>
        </w:rPr>
        <w:t>расходы на содержание зданий и помещений муниципальной собственности, занимаемых администр</w:t>
      </w:r>
      <w:r w:rsidRPr="00E50D4D">
        <w:rPr>
          <w:spacing w:val="-2"/>
        </w:rPr>
        <w:t>а</w:t>
      </w:r>
      <w:r w:rsidRPr="00E50D4D">
        <w:rPr>
          <w:spacing w:val="-2"/>
        </w:rPr>
        <w:t>циями поселений с численностью населения менее 3000 человек</w:t>
      </w:r>
      <w:r>
        <w:rPr>
          <w:spacing w:val="-2"/>
        </w:rPr>
        <w:t>,</w:t>
      </w:r>
      <w:r w:rsidRPr="00E50D4D">
        <w:rPr>
          <w:spacing w:val="-2"/>
        </w:rPr>
        <w:t xml:space="preserve"> в сумме </w:t>
      </w:r>
      <w:r w:rsidR="00495BE5">
        <w:rPr>
          <w:spacing w:val="-2"/>
        </w:rPr>
        <w:t>2</w:t>
      </w:r>
      <w:r>
        <w:rPr>
          <w:spacing w:val="-2"/>
        </w:rPr>
        <w:t>0,0</w:t>
      </w:r>
      <w:r w:rsidRPr="00E50D4D">
        <w:rPr>
          <w:spacing w:val="-2"/>
        </w:rPr>
        <w:t xml:space="preserve"> тыс. руб.</w:t>
      </w:r>
      <w:r>
        <w:rPr>
          <w:spacing w:val="-2"/>
        </w:rPr>
        <w:t>, а та</w:t>
      </w:r>
      <w:r>
        <w:rPr>
          <w:spacing w:val="-2"/>
        </w:rPr>
        <w:t>к</w:t>
      </w:r>
      <w:r>
        <w:rPr>
          <w:spacing w:val="-2"/>
        </w:rPr>
        <w:t xml:space="preserve">же расходы, связанные с передачей полномочий муниципальному району, в сумме </w:t>
      </w:r>
      <w:r w:rsidR="00495BE5">
        <w:rPr>
          <w:spacing w:val="-2"/>
        </w:rPr>
        <w:t>69,5</w:t>
      </w:r>
      <w:r>
        <w:rPr>
          <w:spacing w:val="-2"/>
        </w:rPr>
        <w:t xml:space="preserve"> тыс. руб.</w:t>
      </w:r>
      <w:r w:rsidRPr="00E50D4D">
        <w:rPr>
          <w:spacing w:val="-2"/>
        </w:rPr>
        <w:t xml:space="preserve"> </w:t>
      </w:r>
      <w:r w:rsidRPr="00E50D4D">
        <w:t xml:space="preserve">Норматив – </w:t>
      </w:r>
      <w:r w:rsidR="00495BE5">
        <w:t>1441,4</w:t>
      </w:r>
      <w:r w:rsidRPr="00E50D4D">
        <w:t xml:space="preserve"> тыс. руб. (</w:t>
      </w:r>
      <w:r w:rsidR="00495BE5">
        <w:t>983</w:t>
      </w:r>
      <w:r w:rsidRPr="00E50D4D">
        <w:t xml:space="preserve"> человек</w:t>
      </w:r>
      <w:r w:rsidR="00495BE5">
        <w:t>а</w:t>
      </w:r>
      <w:r w:rsidRPr="00E50D4D">
        <w:t xml:space="preserve"> * 1466,3 руб.).</w:t>
      </w:r>
      <w:r w:rsidRPr="00290054">
        <w:rPr>
          <w:spacing w:val="-2"/>
        </w:rPr>
        <w:t xml:space="preserve"> </w:t>
      </w:r>
      <w:r>
        <w:rPr>
          <w:spacing w:val="-2"/>
        </w:rPr>
        <w:t xml:space="preserve">Значит, </w:t>
      </w:r>
      <w:r w:rsidR="00495BE5">
        <w:t xml:space="preserve">1568,8 </w:t>
      </w:r>
      <w:r w:rsidR="00495BE5">
        <w:rPr>
          <w:spacing w:val="-2"/>
        </w:rPr>
        <w:t xml:space="preserve">– 1441,4 </w:t>
      </w:r>
      <w:r>
        <w:rPr>
          <w:spacing w:val="-2"/>
        </w:rPr>
        <w:t>-</w:t>
      </w:r>
      <w:r w:rsidR="00495BE5">
        <w:rPr>
          <w:spacing w:val="-2"/>
        </w:rPr>
        <w:t xml:space="preserve"> 2</w:t>
      </w:r>
      <w:r>
        <w:rPr>
          <w:spacing w:val="-2"/>
        </w:rPr>
        <w:t>0,0</w:t>
      </w:r>
      <w:r w:rsidR="00495BE5">
        <w:rPr>
          <w:spacing w:val="-2"/>
        </w:rPr>
        <w:t xml:space="preserve"> </w:t>
      </w:r>
      <w:r>
        <w:rPr>
          <w:spacing w:val="-2"/>
        </w:rPr>
        <w:t>-</w:t>
      </w:r>
      <w:r w:rsidR="00495BE5">
        <w:rPr>
          <w:spacing w:val="-2"/>
        </w:rPr>
        <w:t xml:space="preserve">69,5 </w:t>
      </w:r>
      <w:r>
        <w:rPr>
          <w:spacing w:val="-2"/>
        </w:rPr>
        <w:t>=</w:t>
      </w:r>
      <w:r w:rsidR="00495BE5">
        <w:rPr>
          <w:spacing w:val="-2"/>
        </w:rPr>
        <w:t xml:space="preserve"> 37,9</w:t>
      </w:r>
      <w:r>
        <w:rPr>
          <w:spacing w:val="-2"/>
        </w:rPr>
        <w:t xml:space="preserve"> тыс. руб. </w:t>
      </w:r>
      <w:r w:rsidR="00495BE5">
        <w:rPr>
          <w:spacing w:val="-2"/>
        </w:rPr>
        <w:t xml:space="preserve">Следовательно, превышение норматива составляет 37,9 тыс. руб. или 2,6%. </w:t>
      </w:r>
      <w:r w:rsidR="00495BE5" w:rsidRPr="00476024">
        <w:rPr>
          <w:b/>
          <w:i/>
          <w:spacing w:val="-2"/>
        </w:rPr>
        <w:t>Тем самым нарушен пункт 2 статьи 136 БК РФ.</w:t>
      </w:r>
    </w:p>
    <w:p w:rsidR="000651EC" w:rsidRPr="004F0723" w:rsidRDefault="000651EC" w:rsidP="000651EC">
      <w:pPr>
        <w:spacing w:before="40"/>
        <w:ind w:firstLine="567"/>
        <w:jc w:val="both"/>
        <w:rPr>
          <w:i/>
          <w:spacing w:val="-4"/>
          <w:sz w:val="20"/>
          <w:szCs w:val="20"/>
        </w:rPr>
      </w:pPr>
      <w:r w:rsidRPr="004F0723">
        <w:rPr>
          <w:i/>
          <w:color w:val="000000"/>
          <w:spacing w:val="-4"/>
          <w:sz w:val="20"/>
          <w:szCs w:val="20"/>
        </w:rPr>
        <w:t>Для расчёта норматива использована численность населения по данным органа статистики на  01.01.</w:t>
      </w:r>
      <w:r w:rsidR="003A58A3">
        <w:rPr>
          <w:i/>
          <w:color w:val="000000"/>
          <w:spacing w:val="-4"/>
          <w:sz w:val="20"/>
          <w:szCs w:val="20"/>
        </w:rPr>
        <w:t>2015</w:t>
      </w:r>
      <w:r w:rsidRPr="004F0723">
        <w:rPr>
          <w:i/>
          <w:color w:val="000000"/>
          <w:spacing w:val="-4"/>
          <w:sz w:val="20"/>
          <w:szCs w:val="20"/>
        </w:rPr>
        <w:t xml:space="preserve"> – </w:t>
      </w:r>
      <w:r w:rsidR="00495BE5">
        <w:rPr>
          <w:i/>
          <w:color w:val="000000"/>
          <w:spacing w:val="-4"/>
          <w:sz w:val="20"/>
          <w:szCs w:val="20"/>
        </w:rPr>
        <w:t>983</w:t>
      </w:r>
      <w:r w:rsidRPr="004F0723">
        <w:rPr>
          <w:i/>
          <w:color w:val="000000"/>
          <w:spacing w:val="-4"/>
          <w:sz w:val="20"/>
          <w:szCs w:val="20"/>
        </w:rPr>
        <w:t xml:space="preserve"> человек</w:t>
      </w:r>
      <w:r w:rsidR="00495BE5">
        <w:rPr>
          <w:i/>
          <w:color w:val="000000"/>
          <w:spacing w:val="-4"/>
          <w:sz w:val="20"/>
          <w:szCs w:val="20"/>
        </w:rPr>
        <w:t>а</w:t>
      </w:r>
      <w:r w:rsidRPr="004F0723">
        <w:rPr>
          <w:i/>
          <w:color w:val="000000"/>
          <w:spacing w:val="-4"/>
          <w:sz w:val="20"/>
          <w:szCs w:val="20"/>
        </w:rPr>
        <w:t xml:space="preserve"> согласно</w:t>
      </w:r>
      <w:r w:rsidRPr="004F0723">
        <w:rPr>
          <w:i/>
          <w:spacing w:val="-4"/>
          <w:sz w:val="20"/>
          <w:szCs w:val="20"/>
        </w:rPr>
        <w:t xml:space="preserve"> постановлению администрации Новосибирской области от 28.12.2007 № 206-па.</w:t>
      </w:r>
    </w:p>
    <w:p w:rsidR="004A13B7" w:rsidRPr="0029403D" w:rsidRDefault="004A13B7" w:rsidP="00E55C93">
      <w:pPr>
        <w:spacing w:before="60"/>
        <w:ind w:firstLine="567"/>
        <w:jc w:val="both"/>
      </w:pPr>
      <w:r w:rsidRPr="0029403D">
        <w:rPr>
          <w:b/>
        </w:rPr>
        <w:t xml:space="preserve">По разделу 02 «Национальная оборона» </w:t>
      </w:r>
      <w:r w:rsidR="00C800CC" w:rsidRPr="0029403D">
        <w:t xml:space="preserve">расходы в </w:t>
      </w:r>
      <w:r w:rsidR="003A58A3">
        <w:t>2015</w:t>
      </w:r>
      <w:r w:rsidR="00C800CC" w:rsidRPr="0029403D">
        <w:t xml:space="preserve"> году исполнены в объёме </w:t>
      </w:r>
      <w:r w:rsidR="00495BE5">
        <w:t>77,4</w:t>
      </w:r>
      <w:r w:rsidR="00C800CC" w:rsidRPr="0029403D">
        <w:t> тыс. руб. или 100% к плану.</w:t>
      </w:r>
      <w:r w:rsidR="00F34DB4" w:rsidRPr="0029403D">
        <w:t xml:space="preserve"> Удельный вес разде</w:t>
      </w:r>
      <w:r w:rsidR="00D41CF5">
        <w:t>ла</w:t>
      </w:r>
      <w:r w:rsidR="000252AD">
        <w:t xml:space="preserve"> в расходах бюджета составил </w:t>
      </w:r>
      <w:r w:rsidR="00025A3A">
        <w:t>0</w:t>
      </w:r>
      <w:r w:rsidR="000252AD">
        <w:t>,</w:t>
      </w:r>
      <w:r w:rsidR="00FB3B4C">
        <w:t>5</w:t>
      </w:r>
      <w:r w:rsidR="00F34DB4" w:rsidRPr="0029403D">
        <w:t>%.</w:t>
      </w:r>
    </w:p>
    <w:p w:rsidR="00104D65" w:rsidRPr="0029403D" w:rsidRDefault="00104D65" w:rsidP="00D85D04">
      <w:pPr>
        <w:spacing w:before="60"/>
        <w:ind w:firstLine="567"/>
        <w:jc w:val="both"/>
      </w:pPr>
      <w:r w:rsidRPr="0029403D">
        <w:rPr>
          <w:b/>
        </w:rPr>
        <w:t>По разделу 0</w:t>
      </w:r>
      <w:r>
        <w:rPr>
          <w:b/>
        </w:rPr>
        <w:t>3</w:t>
      </w:r>
      <w:r w:rsidRPr="0029403D">
        <w:rPr>
          <w:b/>
        </w:rPr>
        <w:t xml:space="preserve"> «Национальная</w:t>
      </w:r>
      <w:r>
        <w:rPr>
          <w:b/>
        </w:rPr>
        <w:t xml:space="preserve"> безопасность и правоохранительная деятельность</w:t>
      </w:r>
      <w:r w:rsidRPr="0029403D">
        <w:rPr>
          <w:b/>
        </w:rPr>
        <w:t xml:space="preserve">» </w:t>
      </w:r>
      <w:r w:rsidRPr="0029403D">
        <w:t xml:space="preserve">расходы в </w:t>
      </w:r>
      <w:r w:rsidR="003A58A3">
        <w:t>2015</w:t>
      </w:r>
      <w:r w:rsidRPr="0029403D">
        <w:t xml:space="preserve"> году исполнены в объёме </w:t>
      </w:r>
      <w:r w:rsidR="00495BE5">
        <w:t>353,5</w:t>
      </w:r>
      <w:r w:rsidRPr="0029403D">
        <w:t xml:space="preserve"> тыс. руб. или </w:t>
      </w:r>
      <w:r w:rsidR="00495BE5">
        <w:t>97,3</w:t>
      </w:r>
      <w:r w:rsidR="00F6136D">
        <w:t>%</w:t>
      </w:r>
      <w:r w:rsidRPr="0029403D">
        <w:t xml:space="preserve"> к плану</w:t>
      </w:r>
      <w:r w:rsidR="009618A0">
        <w:t xml:space="preserve"> </w:t>
      </w:r>
      <w:r w:rsidR="009618A0" w:rsidRPr="0029403D">
        <w:t>(</w:t>
      </w:r>
      <w:r w:rsidR="009618A0">
        <w:t>недоисполнение</w:t>
      </w:r>
      <w:r w:rsidR="009618A0" w:rsidRPr="0029403D">
        <w:t xml:space="preserve"> – </w:t>
      </w:r>
      <w:r w:rsidR="00495BE5">
        <w:t>9,9</w:t>
      </w:r>
      <w:r w:rsidR="009618A0" w:rsidRPr="0029403D">
        <w:t xml:space="preserve"> тыс. руб.).</w:t>
      </w:r>
      <w:r w:rsidR="009618A0">
        <w:t xml:space="preserve"> </w:t>
      </w:r>
      <w:r w:rsidRPr="0029403D">
        <w:t xml:space="preserve">Удельный вес раздела в расходах бюджета составил </w:t>
      </w:r>
      <w:r w:rsidR="00495BE5">
        <w:t>2,1</w:t>
      </w:r>
      <w:r w:rsidRPr="0029403D">
        <w:t>%.</w:t>
      </w:r>
      <w:r w:rsidR="00F75005">
        <w:t xml:space="preserve"> </w:t>
      </w:r>
    </w:p>
    <w:p w:rsidR="00A41E89" w:rsidRDefault="00981218" w:rsidP="00D85D04">
      <w:pPr>
        <w:spacing w:before="60"/>
        <w:ind w:firstLine="567"/>
        <w:jc w:val="both"/>
      </w:pPr>
      <w:r w:rsidRPr="0029403D">
        <w:rPr>
          <w:b/>
        </w:rPr>
        <w:t>По разделу 0</w:t>
      </w:r>
      <w:r w:rsidR="0068375C">
        <w:rPr>
          <w:b/>
        </w:rPr>
        <w:t>4</w:t>
      </w:r>
      <w:r w:rsidRPr="0029403D">
        <w:rPr>
          <w:b/>
        </w:rPr>
        <w:t xml:space="preserve"> «Национальная</w:t>
      </w:r>
      <w:r>
        <w:rPr>
          <w:b/>
        </w:rPr>
        <w:t xml:space="preserve"> экономика</w:t>
      </w:r>
      <w:r w:rsidRPr="0029403D">
        <w:rPr>
          <w:b/>
        </w:rPr>
        <w:t xml:space="preserve">» </w:t>
      </w:r>
      <w:r w:rsidRPr="0029403D">
        <w:t xml:space="preserve">расходы в </w:t>
      </w:r>
      <w:r w:rsidR="003A58A3">
        <w:t>2015</w:t>
      </w:r>
      <w:r w:rsidRPr="0029403D">
        <w:t xml:space="preserve"> году исполнены в объёме </w:t>
      </w:r>
      <w:r w:rsidR="00656FBC">
        <w:t>4200,1</w:t>
      </w:r>
      <w:r w:rsidRPr="0029403D">
        <w:t xml:space="preserve"> тыс. руб. или </w:t>
      </w:r>
      <w:r w:rsidR="00656FBC">
        <w:t>94,0</w:t>
      </w:r>
      <w:r w:rsidRPr="0029403D">
        <w:t>% к плану</w:t>
      </w:r>
      <w:r w:rsidR="00C628C8">
        <w:t xml:space="preserve"> </w:t>
      </w:r>
      <w:r w:rsidR="00C628C8" w:rsidRPr="0029403D">
        <w:t>(</w:t>
      </w:r>
      <w:r w:rsidR="00C628C8">
        <w:t>недоисполнение</w:t>
      </w:r>
      <w:r w:rsidR="00C628C8" w:rsidRPr="0029403D">
        <w:t xml:space="preserve"> – </w:t>
      </w:r>
      <w:r w:rsidR="00656FBC">
        <w:t>268</w:t>
      </w:r>
      <w:r w:rsidR="00FB3B4C">
        <w:t>,1</w:t>
      </w:r>
      <w:r w:rsidR="00C628C8" w:rsidRPr="0029403D">
        <w:t xml:space="preserve"> тыс. руб.).</w:t>
      </w:r>
      <w:r>
        <w:t xml:space="preserve"> </w:t>
      </w:r>
      <w:r w:rsidRPr="0029403D">
        <w:t xml:space="preserve">Удельный вес раздела в расходах бюджета составил </w:t>
      </w:r>
      <w:r w:rsidR="00656FBC">
        <w:t>25,5%</w:t>
      </w:r>
      <w:r w:rsidR="00FB3B4C">
        <w:t>.</w:t>
      </w:r>
      <w:r w:rsidR="00656FBC" w:rsidRPr="00656FBC">
        <w:t xml:space="preserve"> </w:t>
      </w:r>
      <w:r w:rsidR="00656FBC">
        <w:t>В пояснительной записке отсутствуют объяснения н</w:t>
      </w:r>
      <w:r w:rsidR="00656FBC">
        <w:t>е</w:t>
      </w:r>
      <w:r w:rsidR="00656FBC">
        <w:t>исполнению</w:t>
      </w:r>
      <w:r w:rsidR="00656FBC" w:rsidRPr="001757A5">
        <w:t xml:space="preserve"> </w:t>
      </w:r>
      <w:r w:rsidR="00656FBC">
        <w:t>плана по расходам по данному разделу.</w:t>
      </w:r>
    </w:p>
    <w:p w:rsidR="00495BE5" w:rsidRDefault="00495BE5" w:rsidP="00495BE5">
      <w:pPr>
        <w:spacing w:before="40"/>
        <w:ind w:firstLine="567"/>
        <w:jc w:val="both"/>
        <w:rPr>
          <w:i/>
          <w:spacing w:val="-4"/>
        </w:rPr>
      </w:pPr>
      <w:r w:rsidRPr="00691366">
        <w:rPr>
          <w:i/>
          <w:spacing w:val="-4"/>
        </w:rPr>
        <w:t>Ревизионная комиссия отмечает</w:t>
      </w:r>
      <w:r>
        <w:rPr>
          <w:i/>
          <w:spacing w:val="-4"/>
        </w:rPr>
        <w:t xml:space="preserve"> следующее:</w:t>
      </w:r>
    </w:p>
    <w:p w:rsidR="00495BE5" w:rsidRPr="003A45E1" w:rsidRDefault="00495BE5" w:rsidP="00495BE5">
      <w:pPr>
        <w:spacing w:before="40"/>
        <w:ind w:firstLine="567"/>
        <w:jc w:val="both"/>
        <w:rPr>
          <w:i/>
        </w:rPr>
      </w:pPr>
      <w:r w:rsidRPr="00C821D9">
        <w:t>1) уточнённые бюджетные назна</w:t>
      </w:r>
      <w:r>
        <w:t>чения по разделу/подразделу 0409 «</w:t>
      </w:r>
      <w:r w:rsidRPr="00C821D9">
        <w:t>Дорожное хозя</w:t>
      </w:r>
      <w:r w:rsidRPr="00C821D9">
        <w:t>й</w:t>
      </w:r>
      <w:r w:rsidRPr="00C821D9">
        <w:t>ство (дорожные фонды)</w:t>
      </w:r>
      <w:r>
        <w:t xml:space="preserve">» составляют </w:t>
      </w:r>
      <w:r w:rsidR="00D21FCA">
        <w:t>3713,</w:t>
      </w:r>
      <w:r>
        <w:t xml:space="preserve">2 тыс. руб., что соответствует </w:t>
      </w:r>
      <w:r w:rsidR="00656FBC">
        <w:t xml:space="preserve">сумме </w:t>
      </w:r>
      <w:r w:rsidR="00656FBC" w:rsidRPr="00C821D9">
        <w:t>уточнённы</w:t>
      </w:r>
      <w:r w:rsidR="00656FBC">
        <w:t>х</w:t>
      </w:r>
      <w:r w:rsidR="00656FBC" w:rsidRPr="00C821D9">
        <w:t xml:space="preserve"> бюджетны</w:t>
      </w:r>
      <w:r w:rsidR="00656FBC">
        <w:t>х</w:t>
      </w:r>
      <w:r w:rsidR="00656FBC" w:rsidRPr="00C821D9">
        <w:t xml:space="preserve"> назна</w:t>
      </w:r>
      <w:r w:rsidR="00656FBC">
        <w:t>чений по КБК 297</w:t>
      </w:r>
      <w:r w:rsidR="00656FBC" w:rsidRPr="00C821D9">
        <w:t xml:space="preserve"> 1 03 02000 01 0000 110</w:t>
      </w:r>
      <w:r w:rsidR="00656FBC">
        <w:t xml:space="preserve"> «</w:t>
      </w:r>
      <w:r w:rsidR="00656FBC" w:rsidRPr="00C821D9">
        <w:t>Акцизы по подакцизным тов</w:t>
      </w:r>
      <w:r w:rsidR="00656FBC" w:rsidRPr="00C821D9">
        <w:t>а</w:t>
      </w:r>
      <w:r w:rsidR="00656FBC" w:rsidRPr="00C821D9">
        <w:t>рам (продукции), производимым на территории Российской Федерации</w:t>
      </w:r>
      <w:r w:rsidR="00656FBC">
        <w:t xml:space="preserve">» в сумме 977,7 тыс. руб. и по КБК </w:t>
      </w:r>
      <w:r w:rsidR="00BA03EC">
        <w:t>297</w:t>
      </w:r>
      <w:r w:rsidR="00BA03EC" w:rsidRPr="00C821D9">
        <w:t xml:space="preserve"> </w:t>
      </w:r>
      <w:r w:rsidR="00656FBC" w:rsidRPr="007C3568">
        <w:t>2 02 02216 10 0000 151</w:t>
      </w:r>
      <w:r w:rsidR="00656FBC">
        <w:t xml:space="preserve"> «</w:t>
      </w:r>
      <w:r w:rsidR="00656FBC" w:rsidRPr="007C3568">
        <w:t>Субсидии бюджетам сельских поселений на ос</w:t>
      </w:r>
      <w:r w:rsidR="00656FBC" w:rsidRPr="007C3568">
        <w:t>у</w:t>
      </w:r>
      <w:r w:rsidR="00656FBC" w:rsidRPr="007C3568">
        <w:t>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w:t>
      </w:r>
      <w:r w:rsidR="00656FBC">
        <w:t xml:space="preserve">» в сумме 2725,7 тыс. руб., </w:t>
      </w:r>
      <w:r w:rsidR="00656FBC" w:rsidRPr="00772616">
        <w:t>тем самым соблюдается пункт 5 статьи 179.4 БК РФ</w:t>
      </w:r>
      <w:r w:rsidRPr="003A45E1">
        <w:rPr>
          <w:i/>
        </w:rPr>
        <w:t>:</w:t>
      </w:r>
    </w:p>
    <w:p w:rsidR="00495BE5" w:rsidRPr="0067446F" w:rsidRDefault="00495BE5" w:rsidP="00495BE5">
      <w:pPr>
        <w:pStyle w:val="ConsPlusNormal"/>
        <w:spacing w:before="40"/>
        <w:ind w:firstLine="540"/>
        <w:jc w:val="both"/>
        <w:rPr>
          <w:rFonts w:ascii="Times New Roman" w:hAnsi="Times New Roman" w:cs="Times New Roman"/>
          <w:i/>
        </w:rPr>
      </w:pPr>
      <w:r>
        <w:rPr>
          <w:rFonts w:ascii="Times New Roman" w:hAnsi="Times New Roman" w:cs="Times New Roman"/>
          <w:i/>
        </w:rPr>
        <w:t>«</w:t>
      </w:r>
      <w:r w:rsidRPr="0067446F">
        <w:rPr>
          <w:rFonts w:ascii="Times New Roman" w:hAnsi="Times New Roman" w:cs="Times New Roman"/>
          <w:i/>
        </w:rPr>
        <w:t>Объем бюджетных ассигнований муниципального дорожного фонда утверждается решением о мес</w:t>
      </w:r>
      <w:r w:rsidRPr="0067446F">
        <w:rPr>
          <w:rFonts w:ascii="Times New Roman" w:hAnsi="Times New Roman" w:cs="Times New Roman"/>
          <w:i/>
        </w:rPr>
        <w:t>т</w:t>
      </w:r>
      <w:r w:rsidRPr="0067446F">
        <w:rPr>
          <w:rFonts w:ascii="Times New Roman" w:hAnsi="Times New Roman" w:cs="Times New Roman"/>
          <w:i/>
        </w:rPr>
        <w:t>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w:t>
      </w:r>
      <w:r w:rsidRPr="0067446F">
        <w:rPr>
          <w:rFonts w:ascii="Times New Roman" w:hAnsi="Times New Roman" w:cs="Times New Roman"/>
          <w:i/>
        </w:rPr>
        <w:t>а</w:t>
      </w:r>
      <w:r w:rsidRPr="0067446F">
        <w:rPr>
          <w:rFonts w:ascii="Times New Roman" w:hAnsi="Times New Roman" w:cs="Times New Roman"/>
          <w:i/>
        </w:rPr>
        <w:t xml:space="preserve">вительного органа муниципального образования, указанным в </w:t>
      </w:r>
      <w:hyperlink w:anchor="P4659" w:history="1">
        <w:r w:rsidRPr="0067446F">
          <w:rPr>
            <w:rFonts w:ascii="Times New Roman" w:hAnsi="Times New Roman" w:cs="Times New Roman"/>
            <w:i/>
            <w:color w:val="0000FF"/>
          </w:rPr>
          <w:t>абзаце первом</w:t>
        </w:r>
      </w:hyperlink>
      <w:r w:rsidRPr="0067446F">
        <w:rPr>
          <w:rFonts w:ascii="Times New Roman" w:hAnsi="Times New Roman" w:cs="Times New Roman"/>
          <w:i/>
        </w:rPr>
        <w:t xml:space="preserve"> настоящего пункта, от:</w:t>
      </w:r>
    </w:p>
    <w:p w:rsidR="00495BE5" w:rsidRPr="0067446F" w:rsidRDefault="00495BE5" w:rsidP="00495BE5">
      <w:pPr>
        <w:pStyle w:val="ConsPlusNormal"/>
        <w:spacing w:before="20"/>
        <w:ind w:firstLine="540"/>
        <w:jc w:val="both"/>
        <w:rPr>
          <w:rFonts w:ascii="Times New Roman" w:hAnsi="Times New Roman" w:cs="Times New Roman"/>
          <w:i/>
        </w:rPr>
      </w:pPr>
      <w:r w:rsidRPr="0067446F">
        <w:rPr>
          <w:rFonts w:ascii="Times New Roman" w:hAnsi="Times New Roman" w:cs="Times New Roman"/>
          <w:i/>
        </w:rPr>
        <w:t>акцизов на автомобильный бензин, прямогонный бензин, дизельное топливо, моторные масла для дизел</w:t>
      </w:r>
      <w:r w:rsidRPr="0067446F">
        <w:rPr>
          <w:rFonts w:ascii="Times New Roman" w:hAnsi="Times New Roman" w:cs="Times New Roman"/>
          <w:i/>
        </w:rPr>
        <w:t>ь</w:t>
      </w:r>
      <w:r w:rsidRPr="0067446F">
        <w:rPr>
          <w:rFonts w:ascii="Times New Roman" w:hAnsi="Times New Roman" w:cs="Times New Roman"/>
          <w:i/>
        </w:rPr>
        <w:t>ных и (или) карбюраторных (инжекторных) двигателей, производимые на территории Российской Федерации, подлежащих зачислению в местный бюджет;</w:t>
      </w:r>
    </w:p>
    <w:p w:rsidR="00495BE5" w:rsidRDefault="00495BE5" w:rsidP="00495BE5">
      <w:pPr>
        <w:spacing w:before="20"/>
        <w:ind w:firstLine="567"/>
        <w:jc w:val="both"/>
        <w:rPr>
          <w:i/>
          <w:sz w:val="20"/>
          <w:szCs w:val="20"/>
        </w:rPr>
      </w:pPr>
      <w:r w:rsidRPr="0067446F">
        <w:rPr>
          <w:i/>
          <w:sz w:val="20"/>
          <w:szCs w:val="20"/>
        </w:rPr>
        <w:t>иных поступлений в местный бюджет, утвержденных решением представительного органа муниц</w:t>
      </w:r>
      <w:r w:rsidRPr="0067446F">
        <w:rPr>
          <w:i/>
          <w:sz w:val="20"/>
          <w:szCs w:val="20"/>
        </w:rPr>
        <w:t>и</w:t>
      </w:r>
      <w:r w:rsidRPr="0067446F">
        <w:rPr>
          <w:i/>
          <w:sz w:val="20"/>
          <w:szCs w:val="20"/>
        </w:rPr>
        <w:t>пального образования, предусматривающим создание муниципального дорожного фонда</w:t>
      </w:r>
      <w:r>
        <w:rPr>
          <w:i/>
          <w:sz w:val="20"/>
          <w:szCs w:val="20"/>
        </w:rPr>
        <w:t>»</w:t>
      </w:r>
      <w:r w:rsidRPr="0067446F">
        <w:rPr>
          <w:i/>
          <w:sz w:val="20"/>
          <w:szCs w:val="20"/>
        </w:rPr>
        <w:t>.</w:t>
      </w:r>
    </w:p>
    <w:p w:rsidR="00495BE5" w:rsidRDefault="00495BE5" w:rsidP="00D21FCA">
      <w:pPr>
        <w:autoSpaceDE w:val="0"/>
        <w:autoSpaceDN w:val="0"/>
        <w:adjustRightInd w:val="0"/>
        <w:spacing w:before="40"/>
        <w:ind w:firstLine="540"/>
        <w:jc w:val="both"/>
        <w:rPr>
          <w:i/>
          <w:iCs/>
          <w:sz w:val="20"/>
          <w:szCs w:val="20"/>
        </w:rPr>
      </w:pPr>
      <w:r>
        <w:t>2) исполнение по разделу/подразделу 0409 «</w:t>
      </w:r>
      <w:r w:rsidRPr="00C821D9">
        <w:t>Дорожное хозяйство (дорожные фонды)</w:t>
      </w:r>
      <w:r>
        <w:t xml:space="preserve">» составляет </w:t>
      </w:r>
      <w:r w:rsidR="00D21FCA">
        <w:t>3711,7</w:t>
      </w:r>
      <w:r>
        <w:t xml:space="preserve"> тыс. руб., что </w:t>
      </w:r>
      <w:r w:rsidR="00D21FCA">
        <w:t xml:space="preserve">соответствует сумме </w:t>
      </w:r>
      <w:r w:rsidR="00D21FCA" w:rsidRPr="00C821D9">
        <w:t>уточнённы</w:t>
      </w:r>
      <w:r w:rsidR="00D21FCA">
        <w:t>х</w:t>
      </w:r>
      <w:r w:rsidR="00D21FCA" w:rsidRPr="00C821D9">
        <w:t xml:space="preserve"> бюджетны</w:t>
      </w:r>
      <w:r w:rsidR="00D21FCA">
        <w:t>х</w:t>
      </w:r>
      <w:r w:rsidR="00D21FCA" w:rsidRPr="00C821D9">
        <w:t xml:space="preserve"> назна</w:t>
      </w:r>
      <w:r w:rsidR="00D21FCA">
        <w:t>чений по КБК 297</w:t>
      </w:r>
      <w:r w:rsidR="00D21FCA" w:rsidRPr="00C821D9">
        <w:t xml:space="preserve"> 1 03 02000 01 0000 110</w:t>
      </w:r>
      <w:r w:rsidR="00D21FCA">
        <w:t xml:space="preserve"> «</w:t>
      </w:r>
      <w:r w:rsidR="00D21FCA" w:rsidRPr="00C821D9">
        <w:t>Акцизы по подакцизным товарам (продукции), производ</w:t>
      </w:r>
      <w:r w:rsidR="00D21FCA" w:rsidRPr="00C821D9">
        <w:t>и</w:t>
      </w:r>
      <w:r w:rsidR="00D21FCA" w:rsidRPr="00C821D9">
        <w:t>мым на территории Российской Федерации</w:t>
      </w:r>
      <w:r w:rsidR="00D21FCA">
        <w:t xml:space="preserve">» в сумме 977,7 тыс. руб. и по КБК </w:t>
      </w:r>
      <w:r w:rsidR="00BA03EC">
        <w:t>297</w:t>
      </w:r>
      <w:r w:rsidR="00BA03EC" w:rsidRPr="00C821D9">
        <w:t xml:space="preserve"> </w:t>
      </w:r>
      <w:r w:rsidR="00D21FCA" w:rsidRPr="007C3568">
        <w:t>2 02 02216 10 0000 151</w:t>
      </w:r>
      <w:r w:rsidR="00D21FCA">
        <w:t xml:space="preserve"> «</w:t>
      </w:r>
      <w:r w:rsidR="00D21FCA" w:rsidRPr="007C3568">
        <w:t>Субсидии бюджетам сельских поселений на осуществление дорожной деятел</w:t>
      </w:r>
      <w:r w:rsidR="00D21FCA" w:rsidRPr="007C3568">
        <w:t>ь</w:t>
      </w:r>
      <w:r w:rsidR="00D21FCA" w:rsidRPr="007C3568">
        <w:t>ности в отношении автомобильных дорог общего пользования, а также капитального ремо</w:t>
      </w:r>
      <w:r w:rsidR="00D21FCA" w:rsidRPr="007C3568">
        <w:t>н</w:t>
      </w:r>
      <w:r w:rsidR="00D21FCA" w:rsidRPr="007C3568">
        <w:t>та и ремонта дворовых территорий многоквартирных домов</w:t>
      </w:r>
      <w:r w:rsidR="00D21FCA">
        <w:t>»</w:t>
      </w:r>
      <w:r w:rsidR="00BA03EC" w:rsidRPr="00BA03EC">
        <w:t xml:space="preserve"> </w:t>
      </w:r>
      <w:r w:rsidR="00BA03EC">
        <w:t>в сумме 2725,7 тыс. руб.</w:t>
      </w:r>
    </w:p>
    <w:p w:rsidR="00BA03EC" w:rsidRDefault="004A13B7" w:rsidP="00D85D04">
      <w:pPr>
        <w:spacing w:before="60"/>
        <w:ind w:firstLine="567"/>
        <w:jc w:val="both"/>
      </w:pPr>
      <w:r w:rsidRPr="0029403D">
        <w:rPr>
          <w:b/>
        </w:rPr>
        <w:t>По разделу 05 «Жилищно-коммунальное хозяйство»</w:t>
      </w:r>
      <w:r w:rsidRPr="0029403D">
        <w:t xml:space="preserve"> </w:t>
      </w:r>
      <w:r w:rsidR="00C800CC" w:rsidRPr="0029403D">
        <w:t xml:space="preserve">расходы в </w:t>
      </w:r>
      <w:r w:rsidR="003A58A3">
        <w:t>2015</w:t>
      </w:r>
      <w:r w:rsidR="00C800CC" w:rsidRPr="0029403D">
        <w:t xml:space="preserve"> году исполнены в объёме </w:t>
      </w:r>
      <w:r w:rsidR="00D21FCA">
        <w:t>5329,9</w:t>
      </w:r>
      <w:r w:rsidR="00C800CC" w:rsidRPr="0029403D">
        <w:t xml:space="preserve"> тыс. руб. или </w:t>
      </w:r>
      <w:r w:rsidR="00D21FCA">
        <w:t>49,2</w:t>
      </w:r>
      <w:r w:rsidR="00C800CC" w:rsidRPr="0029403D">
        <w:t>% к плану</w:t>
      </w:r>
      <w:r w:rsidR="00C628C8">
        <w:t xml:space="preserve"> </w:t>
      </w:r>
      <w:r w:rsidR="00C628C8" w:rsidRPr="0029403D">
        <w:t>(</w:t>
      </w:r>
      <w:r w:rsidR="00C628C8">
        <w:t>недоисполнение</w:t>
      </w:r>
      <w:r w:rsidR="00C628C8" w:rsidRPr="0029403D">
        <w:t xml:space="preserve"> – </w:t>
      </w:r>
      <w:r w:rsidR="00D21FCA">
        <w:t>5510,7</w:t>
      </w:r>
      <w:r w:rsidR="00C628C8" w:rsidRPr="0029403D">
        <w:t xml:space="preserve"> тыс. руб.).</w:t>
      </w:r>
      <w:r w:rsidR="00F34DB4" w:rsidRPr="0029403D">
        <w:t xml:space="preserve"> Удельный вес раздела в расходах бюджета составил </w:t>
      </w:r>
      <w:r w:rsidR="00D21FCA">
        <w:t>32,3</w:t>
      </w:r>
      <w:r w:rsidR="00F34DB4" w:rsidRPr="0029403D">
        <w:t>%.</w:t>
      </w:r>
      <w:r w:rsidR="001757A5">
        <w:t xml:space="preserve"> </w:t>
      </w:r>
      <w:r w:rsidR="00BA03EC">
        <w:t>Согласно пояснительной записке по данн</w:t>
      </w:r>
      <w:r w:rsidR="00BA03EC">
        <w:t>о</w:t>
      </w:r>
      <w:r w:rsidR="00BA03EC">
        <w:t>му разделу производились расходы на содержание</w:t>
      </w:r>
      <w:r w:rsidR="00BA03EC" w:rsidRPr="00BA03EC">
        <w:t xml:space="preserve"> </w:t>
      </w:r>
      <w:r w:rsidR="00BA03EC">
        <w:t xml:space="preserve">жилищного хозяйства (80,0 тыс. руб.), </w:t>
      </w:r>
      <w:r w:rsidR="00BA03EC">
        <w:lastRenderedPageBreak/>
        <w:t>коммунального хозяйства (5047,2 тыс. руб.) и благоустройство территории поселения (202,7 тыс. руб.).</w:t>
      </w:r>
    </w:p>
    <w:p w:rsidR="004A13B7" w:rsidRPr="00727CD4" w:rsidRDefault="00FB3B4C" w:rsidP="00BA03EC">
      <w:pPr>
        <w:spacing w:before="40"/>
        <w:ind w:firstLine="567"/>
        <w:jc w:val="both"/>
        <w:rPr>
          <w:i/>
        </w:rPr>
      </w:pPr>
      <w:r w:rsidRPr="00727CD4">
        <w:rPr>
          <w:i/>
        </w:rPr>
        <w:t>В пояснительной записке отсутствуют объяснения неисполнению плана по расходам по данному разделу</w:t>
      </w:r>
      <w:r w:rsidR="00D21FCA" w:rsidRPr="00727CD4">
        <w:rPr>
          <w:i/>
        </w:rPr>
        <w:t>.</w:t>
      </w:r>
    </w:p>
    <w:p w:rsidR="009262CF" w:rsidRPr="00FB3B4C" w:rsidRDefault="004A13B7" w:rsidP="00D85D04">
      <w:pPr>
        <w:spacing w:before="60"/>
        <w:ind w:firstLine="567"/>
        <w:jc w:val="both"/>
      </w:pPr>
      <w:r w:rsidRPr="0029403D">
        <w:rPr>
          <w:b/>
        </w:rPr>
        <w:t>По разделу 08 «Культура, кинематография»</w:t>
      </w:r>
      <w:r w:rsidRPr="0029403D">
        <w:t xml:space="preserve"> </w:t>
      </w:r>
      <w:r w:rsidR="009262CF" w:rsidRPr="0029403D">
        <w:t xml:space="preserve">расходы в </w:t>
      </w:r>
      <w:r w:rsidR="003A58A3">
        <w:t>2015</w:t>
      </w:r>
      <w:r w:rsidR="009262CF" w:rsidRPr="0029403D">
        <w:t xml:space="preserve"> году исполнены в объ</w:t>
      </w:r>
      <w:r w:rsidR="009262CF" w:rsidRPr="0029403D">
        <w:t>ё</w:t>
      </w:r>
      <w:r w:rsidR="009262CF" w:rsidRPr="0029403D">
        <w:t xml:space="preserve">ме </w:t>
      </w:r>
      <w:r w:rsidR="00495BE5">
        <w:t>3823,0</w:t>
      </w:r>
      <w:r w:rsidR="009262CF" w:rsidRPr="0029403D">
        <w:t xml:space="preserve"> тыс. руб. или </w:t>
      </w:r>
      <w:r w:rsidR="00495BE5">
        <w:t>99,8</w:t>
      </w:r>
      <w:r w:rsidR="009262CF" w:rsidRPr="0029403D">
        <w:t>% к плану</w:t>
      </w:r>
      <w:r w:rsidR="009F7257">
        <w:t xml:space="preserve"> </w:t>
      </w:r>
      <w:r w:rsidR="009F7257" w:rsidRPr="0029403D">
        <w:t>(</w:t>
      </w:r>
      <w:r w:rsidR="009F7257">
        <w:t>недоисполнение</w:t>
      </w:r>
      <w:r w:rsidR="009F7257" w:rsidRPr="0029403D">
        <w:t xml:space="preserve"> – </w:t>
      </w:r>
      <w:r w:rsidR="00495BE5">
        <w:t>8,5</w:t>
      </w:r>
      <w:r w:rsidR="009F7257" w:rsidRPr="0029403D">
        <w:t xml:space="preserve"> тыс. руб.)</w:t>
      </w:r>
      <w:r w:rsidR="009262CF" w:rsidRPr="0029403D">
        <w:t>.</w:t>
      </w:r>
      <w:r w:rsidR="00F34DB4" w:rsidRPr="0029403D">
        <w:t xml:space="preserve"> </w:t>
      </w:r>
      <w:r w:rsidR="00F34DB4" w:rsidRPr="00FB3B4C">
        <w:t>Удельный вес разд</w:t>
      </w:r>
      <w:r w:rsidR="00F34DB4" w:rsidRPr="00FB3B4C">
        <w:t>е</w:t>
      </w:r>
      <w:r w:rsidR="00F34DB4" w:rsidRPr="00FB3B4C">
        <w:t xml:space="preserve">ла в расходах бюджета составил </w:t>
      </w:r>
      <w:r w:rsidR="00495BE5">
        <w:t>23,2</w:t>
      </w:r>
      <w:r w:rsidR="00F34DB4" w:rsidRPr="00FB3B4C">
        <w:t>%.</w:t>
      </w:r>
    </w:p>
    <w:p w:rsidR="00F6136D" w:rsidRDefault="004A13B7" w:rsidP="00D85D04">
      <w:pPr>
        <w:spacing w:before="60"/>
        <w:ind w:firstLine="567"/>
        <w:jc w:val="both"/>
      </w:pPr>
      <w:r w:rsidRPr="0029403D">
        <w:rPr>
          <w:b/>
          <w:bCs/>
        </w:rPr>
        <w:t>По разделу 10 «Социаль</w:t>
      </w:r>
      <w:r w:rsidR="00FB3B4C">
        <w:rPr>
          <w:b/>
          <w:bCs/>
        </w:rPr>
        <w:t>н</w:t>
      </w:r>
      <w:r w:rsidRPr="0029403D">
        <w:rPr>
          <w:b/>
          <w:bCs/>
        </w:rPr>
        <w:t>ая политика»</w:t>
      </w:r>
      <w:r w:rsidRPr="0029403D">
        <w:rPr>
          <w:bCs/>
        </w:rPr>
        <w:t xml:space="preserve"> </w:t>
      </w:r>
      <w:r w:rsidR="009262CF" w:rsidRPr="0029403D">
        <w:t xml:space="preserve">расходы в </w:t>
      </w:r>
      <w:r w:rsidR="003A58A3">
        <w:t>2015</w:t>
      </w:r>
      <w:r w:rsidR="009262CF" w:rsidRPr="0029403D">
        <w:t xml:space="preserve"> году исполнены в объёме </w:t>
      </w:r>
      <w:r w:rsidR="00495BE5">
        <w:t>146,4</w:t>
      </w:r>
      <w:r w:rsidR="009262CF" w:rsidRPr="0029403D">
        <w:t xml:space="preserve"> тыс. руб. или </w:t>
      </w:r>
      <w:r w:rsidR="00495BE5">
        <w:t>97,5</w:t>
      </w:r>
      <w:r w:rsidR="00D55E5F" w:rsidRPr="0029403D">
        <w:t>% к плану</w:t>
      </w:r>
      <w:r w:rsidR="00704AED">
        <w:t xml:space="preserve"> </w:t>
      </w:r>
      <w:r w:rsidR="00704AED" w:rsidRPr="0029403D">
        <w:t>(</w:t>
      </w:r>
      <w:r w:rsidR="00704AED">
        <w:t>недоисполнение</w:t>
      </w:r>
      <w:r w:rsidR="00704AED" w:rsidRPr="0029403D">
        <w:t xml:space="preserve"> – </w:t>
      </w:r>
      <w:r w:rsidR="00495BE5">
        <w:t>3,8</w:t>
      </w:r>
      <w:r w:rsidR="00704AED" w:rsidRPr="0029403D">
        <w:t xml:space="preserve"> тыс. руб.).</w:t>
      </w:r>
      <w:r w:rsidR="00D55E5F" w:rsidRPr="0029403D">
        <w:t xml:space="preserve"> </w:t>
      </w:r>
      <w:r w:rsidR="00F34DB4" w:rsidRPr="0029403D">
        <w:t xml:space="preserve">Удельный вес раздела в расходах бюджета составил </w:t>
      </w:r>
      <w:r w:rsidR="00495BE5">
        <w:t>0,9</w:t>
      </w:r>
      <w:r w:rsidR="00F34DB4" w:rsidRPr="0029403D">
        <w:t>%.</w:t>
      </w:r>
    </w:p>
    <w:p w:rsidR="0063708A" w:rsidRPr="00D21FCA" w:rsidRDefault="00152E13" w:rsidP="00D21FCA">
      <w:pPr>
        <w:spacing w:before="180"/>
        <w:ind w:firstLine="567"/>
        <w:jc w:val="both"/>
        <w:rPr>
          <w:b/>
        </w:rPr>
      </w:pPr>
      <w:r w:rsidRPr="00D21FCA">
        <w:rPr>
          <w:b/>
        </w:rPr>
        <w:t>Вывод</w:t>
      </w:r>
      <w:r w:rsidR="0063708A" w:rsidRPr="00D21FCA">
        <w:rPr>
          <w:b/>
        </w:rPr>
        <w:t>:</w:t>
      </w:r>
      <w:r w:rsidR="00162BA1" w:rsidRPr="00D21FCA">
        <w:rPr>
          <w:b/>
        </w:rPr>
        <w:t xml:space="preserve"> </w:t>
      </w:r>
      <w:r w:rsidR="0063708A" w:rsidRPr="00D21FCA">
        <w:rPr>
          <w:b/>
        </w:rPr>
        <w:t>годо</w:t>
      </w:r>
      <w:r w:rsidR="009C4093" w:rsidRPr="00D21FCA">
        <w:rPr>
          <w:b/>
        </w:rPr>
        <w:t xml:space="preserve">вой отчёт об исполнении бюджета </w:t>
      </w:r>
      <w:r w:rsidR="00BB164D" w:rsidRPr="00D21FCA">
        <w:rPr>
          <w:b/>
        </w:rPr>
        <w:t>Марш</w:t>
      </w:r>
      <w:r w:rsidR="00B0167B" w:rsidRPr="00D21FCA">
        <w:rPr>
          <w:b/>
        </w:rPr>
        <w:t>ан</w:t>
      </w:r>
      <w:r w:rsidR="009C4093" w:rsidRPr="00D21FCA">
        <w:rPr>
          <w:b/>
        </w:rPr>
        <w:t>ского сельсовета Карга</w:t>
      </w:r>
      <w:r w:rsidR="009C4093" w:rsidRPr="00D21FCA">
        <w:rPr>
          <w:b/>
        </w:rPr>
        <w:t>т</w:t>
      </w:r>
      <w:r w:rsidR="009C4093" w:rsidRPr="00D21FCA">
        <w:rPr>
          <w:b/>
        </w:rPr>
        <w:t xml:space="preserve">ского района Новосибирской области за </w:t>
      </w:r>
      <w:r w:rsidR="003A58A3" w:rsidRPr="00D21FCA">
        <w:rPr>
          <w:b/>
        </w:rPr>
        <w:t>2015</w:t>
      </w:r>
      <w:r w:rsidR="009C4093" w:rsidRPr="00D21FCA">
        <w:rPr>
          <w:b/>
        </w:rPr>
        <w:t xml:space="preserve"> год признать достоверным</w:t>
      </w:r>
      <w:r w:rsidR="00D21FCA" w:rsidRPr="00D21FCA">
        <w:rPr>
          <w:b/>
        </w:rPr>
        <w:t>, однако им</w:t>
      </w:r>
      <w:r w:rsidR="00D21FCA" w:rsidRPr="00D21FCA">
        <w:rPr>
          <w:b/>
        </w:rPr>
        <w:t>е</w:t>
      </w:r>
      <w:r w:rsidR="00D21FCA" w:rsidRPr="00D21FCA">
        <w:rPr>
          <w:b/>
        </w:rPr>
        <w:t>ются нарушения и замечания.</w:t>
      </w:r>
    </w:p>
    <w:p w:rsidR="00FB3B4C" w:rsidRPr="00F435AA" w:rsidRDefault="00FB3B4C" w:rsidP="00FB3B4C">
      <w:pPr>
        <w:spacing w:before="180"/>
        <w:ind w:firstLine="567"/>
        <w:jc w:val="both"/>
      </w:pPr>
      <w:r w:rsidRPr="00F435AA">
        <w:t>Учитывая изложенное, Ревизионная комиссия предлагает:</w:t>
      </w:r>
    </w:p>
    <w:p w:rsidR="00FB3B4C" w:rsidRPr="00F435AA" w:rsidRDefault="00FB3B4C" w:rsidP="00FB3B4C">
      <w:pPr>
        <w:spacing w:before="120"/>
        <w:ind w:firstLine="567"/>
        <w:rPr>
          <w:b/>
          <w:i/>
        </w:rPr>
      </w:pPr>
      <w:r w:rsidRPr="00F435AA">
        <w:rPr>
          <w:b/>
          <w:i/>
        </w:rPr>
        <w:t xml:space="preserve">Администрации </w:t>
      </w:r>
      <w:r w:rsidRPr="00FB3B4C">
        <w:rPr>
          <w:b/>
          <w:i/>
        </w:rPr>
        <w:t>Маршанского</w:t>
      </w:r>
      <w:r w:rsidRPr="00162BA1">
        <w:rPr>
          <w:b/>
        </w:rPr>
        <w:t xml:space="preserve"> </w:t>
      </w:r>
      <w:r w:rsidRPr="00F435AA">
        <w:rPr>
          <w:b/>
          <w:i/>
        </w:rPr>
        <w:t>сельсовета:</w:t>
      </w:r>
    </w:p>
    <w:p w:rsidR="00D21FCA" w:rsidRPr="00FD6B9F" w:rsidRDefault="004E327D" w:rsidP="004E327D">
      <w:pPr>
        <w:spacing w:before="60"/>
        <w:ind w:firstLine="567"/>
        <w:jc w:val="both"/>
        <w:rPr>
          <w:color w:val="000000"/>
          <w:spacing w:val="-2"/>
        </w:rPr>
      </w:pPr>
      <w:r>
        <w:rPr>
          <w:spacing w:val="-2"/>
        </w:rPr>
        <w:t>1</w:t>
      </w:r>
      <w:r w:rsidR="00D21FCA" w:rsidRPr="00FD6B9F">
        <w:rPr>
          <w:spacing w:val="-2"/>
        </w:rPr>
        <w:t>) инвентаризация имущества и обязательств должна проводит</w:t>
      </w:r>
      <w:r w:rsidR="00D21FCA">
        <w:rPr>
          <w:spacing w:val="-2"/>
        </w:rPr>
        <w:t>ь</w:t>
      </w:r>
      <w:r w:rsidR="00D21FCA" w:rsidRPr="00FD6B9F">
        <w:rPr>
          <w:spacing w:val="-2"/>
        </w:rPr>
        <w:t>ся в соответствие прик</w:t>
      </w:r>
      <w:r w:rsidR="00D21FCA" w:rsidRPr="00FD6B9F">
        <w:rPr>
          <w:spacing w:val="-2"/>
        </w:rPr>
        <w:t>а</w:t>
      </w:r>
      <w:r w:rsidR="00D21FCA" w:rsidRPr="00FD6B9F">
        <w:rPr>
          <w:spacing w:val="-2"/>
        </w:rPr>
        <w:t>зу Министерства финансов Российской Федерации от 29.07.1998 № 34н</w:t>
      </w:r>
      <w:r w:rsidR="00D21FCA">
        <w:rPr>
          <w:spacing w:val="-2"/>
        </w:rPr>
        <w:t>;</w:t>
      </w:r>
    </w:p>
    <w:p w:rsidR="00D21FCA" w:rsidRDefault="00D21FCA" w:rsidP="004E327D">
      <w:pPr>
        <w:spacing w:before="60"/>
        <w:ind w:firstLine="567"/>
        <w:jc w:val="both"/>
      </w:pPr>
      <w:r>
        <w:t>2</w:t>
      </w:r>
      <w:r w:rsidRPr="00AA4083">
        <w:t>) таблиц</w:t>
      </w:r>
      <w:r w:rsidR="004E327D">
        <w:t>ы 3,4,5</w:t>
      </w:r>
      <w:r w:rsidRPr="00AA4083">
        <w:t xml:space="preserve"> к пояснительной записке 0503160 должн</w:t>
      </w:r>
      <w:r w:rsidR="004E327D">
        <w:t xml:space="preserve">ы быть заполнены </w:t>
      </w:r>
      <w:r w:rsidR="004E327D" w:rsidRPr="00213CAB">
        <w:rPr>
          <w:spacing w:val="-2"/>
        </w:rPr>
        <w:t>(</w:t>
      </w:r>
      <w:r w:rsidR="004E327D" w:rsidRPr="00213CAB">
        <w:rPr>
          <w:b/>
          <w:i/>
          <w:spacing w:val="-2"/>
        </w:rPr>
        <w:t xml:space="preserve">на данное </w:t>
      </w:r>
      <w:r w:rsidR="004E327D">
        <w:rPr>
          <w:b/>
          <w:i/>
          <w:spacing w:val="-2"/>
        </w:rPr>
        <w:t>замечание</w:t>
      </w:r>
      <w:r w:rsidR="004E327D" w:rsidRPr="00213CAB">
        <w:rPr>
          <w:b/>
          <w:i/>
          <w:spacing w:val="-2"/>
        </w:rPr>
        <w:t xml:space="preserve"> было указано в экспертн</w:t>
      </w:r>
      <w:r w:rsidR="004E327D">
        <w:rPr>
          <w:b/>
          <w:i/>
          <w:spacing w:val="-2"/>
        </w:rPr>
        <w:t>ых</w:t>
      </w:r>
      <w:r w:rsidR="004E327D" w:rsidRPr="00213CAB">
        <w:rPr>
          <w:b/>
          <w:i/>
          <w:spacing w:val="-2"/>
        </w:rPr>
        <w:t xml:space="preserve"> заключени</w:t>
      </w:r>
      <w:r w:rsidR="004E327D">
        <w:rPr>
          <w:b/>
          <w:i/>
          <w:spacing w:val="-2"/>
        </w:rPr>
        <w:t>ях</w:t>
      </w:r>
      <w:r w:rsidR="004E327D" w:rsidRPr="00213CAB">
        <w:rPr>
          <w:b/>
          <w:i/>
          <w:spacing w:val="-2"/>
        </w:rPr>
        <w:t xml:space="preserve"> по результатам внешней проверки г</w:t>
      </w:r>
      <w:r w:rsidR="004E327D" w:rsidRPr="00213CAB">
        <w:rPr>
          <w:b/>
          <w:i/>
          <w:spacing w:val="-2"/>
        </w:rPr>
        <w:t>о</w:t>
      </w:r>
      <w:r w:rsidR="004E327D" w:rsidRPr="00213CAB">
        <w:rPr>
          <w:b/>
          <w:i/>
          <w:spacing w:val="-2"/>
        </w:rPr>
        <w:t>дов</w:t>
      </w:r>
      <w:r w:rsidR="004E327D">
        <w:rPr>
          <w:b/>
          <w:i/>
          <w:spacing w:val="-2"/>
        </w:rPr>
        <w:t>ых</w:t>
      </w:r>
      <w:r w:rsidR="004E327D" w:rsidRPr="00213CAB">
        <w:rPr>
          <w:b/>
          <w:i/>
          <w:spacing w:val="-2"/>
        </w:rPr>
        <w:t xml:space="preserve"> отчёт</w:t>
      </w:r>
      <w:r w:rsidR="004E327D">
        <w:rPr>
          <w:b/>
          <w:i/>
          <w:spacing w:val="-2"/>
        </w:rPr>
        <w:t>ов</w:t>
      </w:r>
      <w:r w:rsidR="004E327D" w:rsidRPr="00213CAB">
        <w:rPr>
          <w:b/>
          <w:i/>
          <w:spacing w:val="-2"/>
        </w:rPr>
        <w:t xml:space="preserve"> об исполнении бюджета за </w:t>
      </w:r>
      <w:r w:rsidR="004E327D">
        <w:rPr>
          <w:b/>
          <w:i/>
          <w:spacing w:val="-2"/>
        </w:rPr>
        <w:t xml:space="preserve">2013, </w:t>
      </w:r>
      <w:r w:rsidR="004E327D" w:rsidRPr="00213CAB">
        <w:rPr>
          <w:b/>
          <w:i/>
          <w:spacing w:val="-2"/>
        </w:rPr>
        <w:t>2014 год</w:t>
      </w:r>
      <w:r w:rsidR="004E327D">
        <w:rPr>
          <w:b/>
          <w:i/>
          <w:spacing w:val="-2"/>
        </w:rPr>
        <w:t>ы</w:t>
      </w:r>
      <w:r w:rsidR="004E327D" w:rsidRPr="00213CAB">
        <w:rPr>
          <w:spacing w:val="-2"/>
        </w:rPr>
        <w:t>)</w:t>
      </w:r>
      <w:r w:rsidR="004E327D">
        <w:t>;</w:t>
      </w:r>
    </w:p>
    <w:p w:rsidR="00D21FCA" w:rsidRDefault="004E327D" w:rsidP="004E327D">
      <w:pPr>
        <w:spacing w:before="60"/>
        <w:ind w:firstLine="567"/>
        <w:jc w:val="both"/>
      </w:pPr>
      <w:r>
        <w:t>3</w:t>
      </w:r>
      <w:r w:rsidR="00D21FCA" w:rsidRPr="00AA4083">
        <w:t>) в таблице 7 к пояснительной записке 0503160 должна содержать все данные о вне</w:t>
      </w:r>
      <w:r w:rsidR="00D21FCA" w:rsidRPr="00AA4083">
        <w:t>ш</w:t>
      </w:r>
      <w:r>
        <w:t>них контрольных мероприятиях;</w:t>
      </w:r>
    </w:p>
    <w:p w:rsidR="00D21FCA" w:rsidRDefault="004E327D" w:rsidP="004E327D">
      <w:pPr>
        <w:spacing w:before="60"/>
        <w:ind w:firstLine="567"/>
        <w:jc w:val="both"/>
        <w:rPr>
          <w:spacing w:val="-2"/>
        </w:rPr>
      </w:pPr>
      <w:r>
        <w:rPr>
          <w:spacing w:val="-2"/>
        </w:rPr>
        <w:t>4</w:t>
      </w:r>
      <w:r w:rsidR="00D21FCA" w:rsidRPr="00F2033E">
        <w:rPr>
          <w:spacing w:val="-2"/>
        </w:rPr>
        <w:t xml:space="preserve">) </w:t>
      </w:r>
      <w:r w:rsidR="00D21FCA">
        <w:rPr>
          <w:color w:val="000000"/>
          <w:spacing w:val="-2"/>
        </w:rPr>
        <w:t>формы бюджетной отчётности</w:t>
      </w:r>
      <w:r w:rsidR="00D21FCA" w:rsidRPr="00F2033E">
        <w:rPr>
          <w:spacing w:val="-2"/>
        </w:rPr>
        <w:t xml:space="preserve"> </w:t>
      </w:r>
      <w:r w:rsidR="00D21FCA">
        <w:rPr>
          <w:spacing w:val="-2"/>
        </w:rPr>
        <w:t>(0503164, 0503177) должны содержать всю необход</w:t>
      </w:r>
      <w:r w:rsidR="00D21FCA">
        <w:rPr>
          <w:spacing w:val="-2"/>
        </w:rPr>
        <w:t>и</w:t>
      </w:r>
      <w:r w:rsidR="00D21FCA">
        <w:rPr>
          <w:spacing w:val="-2"/>
        </w:rPr>
        <w:t>мую информацию;</w:t>
      </w:r>
    </w:p>
    <w:p w:rsidR="0046648C" w:rsidRPr="00F2033E" w:rsidRDefault="004E327D" w:rsidP="004E327D">
      <w:pPr>
        <w:spacing w:before="60"/>
        <w:ind w:firstLine="567"/>
        <w:jc w:val="both"/>
        <w:rPr>
          <w:spacing w:val="-2"/>
        </w:rPr>
      </w:pPr>
      <w:r>
        <w:rPr>
          <w:spacing w:val="-2"/>
        </w:rPr>
        <w:t>5</w:t>
      </w:r>
      <w:r w:rsidR="0046648C" w:rsidRPr="00F2033E">
        <w:rPr>
          <w:spacing w:val="-2"/>
        </w:rPr>
        <w:t xml:space="preserve">) </w:t>
      </w:r>
      <w:r w:rsidR="0046648C" w:rsidRPr="00F2033E">
        <w:rPr>
          <w:color w:val="000000"/>
          <w:spacing w:val="-2"/>
        </w:rPr>
        <w:t>в</w:t>
      </w:r>
      <w:r w:rsidR="0046648C" w:rsidRPr="00F2033E">
        <w:rPr>
          <w:spacing w:val="-2"/>
        </w:rPr>
        <w:t xml:space="preserve"> текстовой части решений о внесении изменений в бюджет должны быть указаны общий объём доходов и расходов, дефицит (профицит) бюджета согласно</w:t>
      </w:r>
      <w:r w:rsidR="0046648C" w:rsidRPr="00F2033E">
        <w:rPr>
          <w:color w:val="000000"/>
          <w:spacing w:val="-2"/>
        </w:rPr>
        <w:t xml:space="preserve"> статье 184.1 БК РФ</w:t>
      </w:r>
      <w:r w:rsidR="00D21FCA">
        <w:rPr>
          <w:color w:val="000000"/>
          <w:spacing w:val="-2"/>
        </w:rPr>
        <w:t xml:space="preserve"> </w:t>
      </w:r>
      <w:r w:rsidR="00D21FCA" w:rsidRPr="00956CF1">
        <w:rPr>
          <w:color w:val="000000"/>
        </w:rPr>
        <w:t>(</w:t>
      </w:r>
      <w:r w:rsidR="00D21FCA" w:rsidRPr="00956CF1">
        <w:rPr>
          <w:b/>
          <w:i/>
        </w:rPr>
        <w:t>на данное нарушение было указано в экспертном заключении по результатам внешней проверки годового отчёта об исполнении бюджета за 2013, 2014 годы</w:t>
      </w:r>
      <w:r w:rsidR="00D21FCA" w:rsidRPr="00956CF1">
        <w:t>)</w:t>
      </w:r>
      <w:r w:rsidR="00D21FCA" w:rsidRPr="00956CF1">
        <w:rPr>
          <w:color w:val="000000"/>
        </w:rPr>
        <w:t>;</w:t>
      </w:r>
    </w:p>
    <w:p w:rsidR="00FB3B4C" w:rsidRDefault="004E327D" w:rsidP="004E327D">
      <w:pPr>
        <w:spacing w:before="60"/>
        <w:ind w:firstLine="567"/>
        <w:jc w:val="both"/>
        <w:rPr>
          <w:szCs w:val="28"/>
        </w:rPr>
      </w:pPr>
      <w:r>
        <w:t>6</w:t>
      </w:r>
      <w:r w:rsidR="00FB3B4C" w:rsidRPr="0029403D">
        <w:t>) при планировании и исполнении местного бюджета</w:t>
      </w:r>
      <w:r w:rsidR="00FB3B4C" w:rsidRPr="0029403D">
        <w:rPr>
          <w:szCs w:val="28"/>
        </w:rPr>
        <w:t xml:space="preserve"> лимиты на содержание </w:t>
      </w:r>
      <w:r w:rsidR="00D21FCA">
        <w:rPr>
          <w:szCs w:val="28"/>
        </w:rPr>
        <w:t>органов местного самоуправления</w:t>
      </w:r>
      <w:r w:rsidR="00FB3B4C" w:rsidRPr="0029403D">
        <w:rPr>
          <w:szCs w:val="28"/>
        </w:rPr>
        <w:t xml:space="preserve"> должны соответствовать нормативам, установленным постановл</w:t>
      </w:r>
      <w:r w:rsidR="00FB3B4C" w:rsidRPr="0029403D">
        <w:rPr>
          <w:szCs w:val="28"/>
        </w:rPr>
        <w:t>е</w:t>
      </w:r>
      <w:r w:rsidR="00FB3B4C" w:rsidRPr="0029403D">
        <w:rPr>
          <w:szCs w:val="28"/>
        </w:rPr>
        <w:t>нием администрации Новосибирской</w:t>
      </w:r>
      <w:r w:rsidR="00FB3B4C">
        <w:rPr>
          <w:szCs w:val="28"/>
        </w:rPr>
        <w:t xml:space="preserve"> области от 28.12.2007 № 206-па (с учётом изменений</w:t>
      </w:r>
      <w:r>
        <w:rPr>
          <w:szCs w:val="28"/>
        </w:rPr>
        <w:t>)</w:t>
      </w:r>
      <w:r w:rsidR="004848B8">
        <w:rPr>
          <w:szCs w:val="28"/>
        </w:rPr>
        <w:t>, или должна быть указана объективная причина превышению норматива</w:t>
      </w:r>
      <w:r>
        <w:rPr>
          <w:szCs w:val="28"/>
        </w:rPr>
        <w:t>;</w:t>
      </w:r>
    </w:p>
    <w:p w:rsidR="004E327D" w:rsidRPr="004E327D" w:rsidRDefault="004E327D" w:rsidP="004E327D">
      <w:pPr>
        <w:spacing w:before="60"/>
        <w:ind w:firstLine="567"/>
        <w:jc w:val="both"/>
        <w:rPr>
          <w:spacing w:val="-2"/>
          <w:szCs w:val="28"/>
        </w:rPr>
      </w:pPr>
      <w:r w:rsidRPr="004E327D">
        <w:rPr>
          <w:spacing w:val="-2"/>
          <w:szCs w:val="28"/>
        </w:rPr>
        <w:t>7) пояснительная записка или форма 0503164 должны содержать информацию о прич</w:t>
      </w:r>
      <w:r w:rsidRPr="004E327D">
        <w:rPr>
          <w:spacing w:val="-2"/>
          <w:szCs w:val="28"/>
        </w:rPr>
        <w:t>и</w:t>
      </w:r>
      <w:r w:rsidRPr="004E327D">
        <w:rPr>
          <w:spacing w:val="-2"/>
          <w:szCs w:val="28"/>
        </w:rPr>
        <w:t>нах значительного неисполнения уточнённых бюджетных назначений по доходам и расходам.</w:t>
      </w:r>
    </w:p>
    <w:p w:rsidR="00FB3B4C" w:rsidRPr="0029403D" w:rsidRDefault="00FB3B4C" w:rsidP="00FB3B4C">
      <w:pPr>
        <w:spacing w:before="120"/>
        <w:ind w:firstLine="567"/>
        <w:jc w:val="both"/>
      </w:pPr>
      <w:r w:rsidRPr="00A82072">
        <w:rPr>
          <w:b/>
          <w:i/>
        </w:rPr>
        <w:t xml:space="preserve">Совету депутатов </w:t>
      </w:r>
      <w:r w:rsidRPr="00FB3B4C">
        <w:rPr>
          <w:b/>
          <w:i/>
        </w:rPr>
        <w:t>Маршанского</w:t>
      </w:r>
      <w:r w:rsidRPr="00162BA1">
        <w:rPr>
          <w:b/>
        </w:rPr>
        <w:t xml:space="preserve"> </w:t>
      </w:r>
      <w:r w:rsidRPr="00F435AA">
        <w:rPr>
          <w:b/>
          <w:i/>
        </w:rPr>
        <w:t>сельсовета</w:t>
      </w:r>
      <w:r>
        <w:rPr>
          <w:b/>
          <w:i/>
        </w:rPr>
        <w:t>:</w:t>
      </w:r>
      <w:r w:rsidRPr="00C056D0">
        <w:t xml:space="preserve"> учесть изложенные в настоящем з</w:t>
      </w:r>
      <w:r w:rsidRPr="00C056D0">
        <w:t>а</w:t>
      </w:r>
      <w:r w:rsidRPr="00C056D0">
        <w:t xml:space="preserve">ключении замечания при рассмотрении отчёта об исполнении бюджета </w:t>
      </w:r>
      <w:r w:rsidRPr="00FB3B4C">
        <w:t>Маршанского</w:t>
      </w:r>
      <w:r w:rsidRPr="00162BA1">
        <w:rPr>
          <w:b/>
        </w:rPr>
        <w:t xml:space="preserve"> </w:t>
      </w:r>
      <w:r w:rsidRPr="0029403D">
        <w:t>сел</w:t>
      </w:r>
      <w:r w:rsidRPr="0029403D">
        <w:t>ь</w:t>
      </w:r>
      <w:r w:rsidRPr="0029403D">
        <w:t xml:space="preserve">совета Каргатского района Новосибирской области за </w:t>
      </w:r>
      <w:r w:rsidR="003A58A3">
        <w:t>2015</w:t>
      </w:r>
      <w:r w:rsidRPr="0029403D">
        <w:t xml:space="preserve"> год.</w:t>
      </w:r>
    </w:p>
    <w:p w:rsidR="004E327D" w:rsidRPr="0029403D" w:rsidRDefault="004E327D" w:rsidP="004E327D">
      <w:pPr>
        <w:spacing w:before="180"/>
        <w:ind w:firstLine="567"/>
        <w:jc w:val="both"/>
      </w:pPr>
      <w:r w:rsidRPr="0029403D">
        <w:t xml:space="preserve">Экспертное заключение направить </w:t>
      </w:r>
      <w:r>
        <w:t>в администрацию</w:t>
      </w:r>
      <w:r w:rsidRPr="0029403D">
        <w:t xml:space="preserve"> </w:t>
      </w:r>
      <w:r w:rsidRPr="00FB3B4C">
        <w:t>Маршанского</w:t>
      </w:r>
      <w:r w:rsidRPr="00162BA1">
        <w:rPr>
          <w:b/>
        </w:rPr>
        <w:t xml:space="preserve"> </w:t>
      </w:r>
      <w:r w:rsidRPr="0029403D">
        <w:t xml:space="preserve">сельсовета и Совет депутатов </w:t>
      </w:r>
      <w:r w:rsidRPr="00FB3B4C">
        <w:t>Маршанского</w:t>
      </w:r>
      <w:r w:rsidRPr="00162BA1">
        <w:rPr>
          <w:b/>
        </w:rPr>
        <w:t xml:space="preserve"> </w:t>
      </w:r>
      <w:r w:rsidRPr="0029403D">
        <w:t>сельсовета.</w:t>
      </w:r>
    </w:p>
    <w:p w:rsidR="00FB3B4C" w:rsidRDefault="00FB3B4C" w:rsidP="00FB3B4C"/>
    <w:p w:rsidR="00FB3B4C" w:rsidRDefault="00FB3B4C" w:rsidP="00FB3B4C"/>
    <w:p w:rsidR="00FB3B4C" w:rsidRDefault="00FB3B4C" w:rsidP="00FB3B4C"/>
    <w:p w:rsidR="004E327D" w:rsidRDefault="004E327D" w:rsidP="00FB3B4C"/>
    <w:p w:rsidR="00FB3B4C" w:rsidRDefault="00FB3B4C" w:rsidP="00FB3B4C">
      <w:pPr>
        <w:spacing w:before="120"/>
      </w:pPr>
      <w:r>
        <w:t>Председатель</w:t>
      </w:r>
      <w:r w:rsidRPr="0029403D">
        <w:t xml:space="preserve"> </w:t>
      </w:r>
      <w:r>
        <w:t>Р</w:t>
      </w:r>
      <w:r w:rsidRPr="0029403D">
        <w:t>евизионной комиссии</w:t>
      </w:r>
      <w:r>
        <w:tab/>
      </w:r>
      <w:r w:rsidRPr="0029403D">
        <w:tab/>
      </w:r>
      <w:r w:rsidRPr="0029403D">
        <w:tab/>
      </w:r>
      <w:r>
        <w:tab/>
        <w:t>Т</w:t>
      </w:r>
      <w:r w:rsidRPr="0029403D">
        <w:t>.</w:t>
      </w:r>
      <w:r>
        <w:t>Г</w:t>
      </w:r>
      <w:r w:rsidRPr="0029403D">
        <w:t>.</w:t>
      </w:r>
      <w:r>
        <w:t xml:space="preserve"> Белоусова</w:t>
      </w:r>
      <w:r w:rsidRPr="0029403D">
        <w:tab/>
      </w:r>
    </w:p>
    <w:p w:rsidR="00FB3B4C" w:rsidRDefault="00FB3B4C" w:rsidP="00FB3B4C">
      <w:pPr>
        <w:jc w:val="both"/>
      </w:pPr>
    </w:p>
    <w:p w:rsidR="00FB3B4C" w:rsidRDefault="00FB3B4C" w:rsidP="00FB3B4C">
      <w:pPr>
        <w:jc w:val="both"/>
      </w:pPr>
    </w:p>
    <w:p w:rsidR="00FB3B4C" w:rsidRDefault="00FB3B4C" w:rsidP="00FB3B4C">
      <w:pPr>
        <w:jc w:val="both"/>
      </w:pPr>
    </w:p>
    <w:p w:rsidR="00066440" w:rsidRPr="0029403D" w:rsidRDefault="00FB3B4C" w:rsidP="00FB3B4C">
      <w:pPr>
        <w:spacing w:before="120"/>
      </w:pPr>
      <w:r w:rsidRPr="0029403D">
        <w:t xml:space="preserve">Инспектор </w:t>
      </w:r>
      <w:r>
        <w:t>Р</w:t>
      </w:r>
      <w:r w:rsidRPr="0029403D">
        <w:t>евизионной комиссии</w:t>
      </w:r>
      <w:r>
        <w:tab/>
      </w:r>
      <w:r>
        <w:tab/>
      </w:r>
      <w:r>
        <w:tab/>
      </w:r>
      <w:r>
        <w:tab/>
      </w:r>
      <w:r>
        <w:tab/>
        <w:t>А.В. Довгучиц</w:t>
      </w:r>
    </w:p>
    <w:sectPr w:rsidR="00066440" w:rsidRPr="0029403D" w:rsidSect="009413C4">
      <w:footerReference w:type="even" r:id="rId10"/>
      <w:footerReference w:type="default" r:id="rId11"/>
      <w:pgSz w:w="11906" w:h="16838" w:code="9"/>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41" w:rsidRDefault="00007341">
      <w:r>
        <w:separator/>
      </w:r>
    </w:p>
  </w:endnote>
  <w:endnote w:type="continuationSeparator" w:id="0">
    <w:p w:rsidR="00007341" w:rsidRDefault="0000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D4" w:rsidRDefault="00727CD4" w:rsidP="00F85C4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27CD4" w:rsidRDefault="00727CD4" w:rsidP="006A699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D4" w:rsidRPr="00E97930" w:rsidRDefault="00727CD4" w:rsidP="00F85C4C">
    <w:pPr>
      <w:pStyle w:val="aa"/>
      <w:framePr w:wrap="around" w:vAnchor="text" w:hAnchor="margin" w:xAlign="right" w:y="1"/>
      <w:rPr>
        <w:rStyle w:val="ab"/>
        <w:sz w:val="16"/>
        <w:szCs w:val="16"/>
      </w:rPr>
    </w:pPr>
    <w:r w:rsidRPr="00E97930">
      <w:rPr>
        <w:rStyle w:val="ab"/>
        <w:sz w:val="16"/>
        <w:szCs w:val="16"/>
      </w:rPr>
      <w:fldChar w:fldCharType="begin"/>
    </w:r>
    <w:r w:rsidRPr="00E97930">
      <w:rPr>
        <w:rStyle w:val="ab"/>
        <w:sz w:val="16"/>
        <w:szCs w:val="16"/>
      </w:rPr>
      <w:instrText xml:space="preserve">PAGE  </w:instrText>
    </w:r>
    <w:r w:rsidRPr="00E97930">
      <w:rPr>
        <w:rStyle w:val="ab"/>
        <w:sz w:val="16"/>
        <w:szCs w:val="16"/>
      </w:rPr>
      <w:fldChar w:fldCharType="separate"/>
    </w:r>
    <w:r w:rsidR="00F428A3">
      <w:rPr>
        <w:rStyle w:val="ab"/>
        <w:noProof/>
        <w:sz w:val="16"/>
        <w:szCs w:val="16"/>
      </w:rPr>
      <w:t>7</w:t>
    </w:r>
    <w:r w:rsidRPr="00E97930">
      <w:rPr>
        <w:rStyle w:val="ab"/>
        <w:sz w:val="16"/>
        <w:szCs w:val="16"/>
      </w:rPr>
      <w:fldChar w:fldCharType="end"/>
    </w:r>
  </w:p>
  <w:p w:rsidR="00727CD4" w:rsidRDefault="00727CD4" w:rsidP="006A699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41" w:rsidRDefault="00007341">
      <w:r>
        <w:separator/>
      </w:r>
    </w:p>
  </w:footnote>
  <w:footnote w:type="continuationSeparator" w:id="0">
    <w:p w:rsidR="00007341" w:rsidRDefault="00007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B3838BB"/>
    <w:multiLevelType w:val="singleLevel"/>
    <w:tmpl w:val="4046248E"/>
    <w:lvl w:ilvl="0">
      <w:numFmt w:val="bullet"/>
      <w:lvlText w:val="-"/>
      <w:lvlJc w:val="left"/>
      <w:pPr>
        <w:tabs>
          <w:tab w:val="num" w:pos="900"/>
        </w:tabs>
        <w:ind w:left="900" w:hanging="360"/>
      </w:pPr>
      <w:rPr>
        <w:rFont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48"/>
    <w:rsid w:val="00003203"/>
    <w:rsid w:val="00006055"/>
    <w:rsid w:val="00006951"/>
    <w:rsid w:val="00006CE6"/>
    <w:rsid w:val="00007341"/>
    <w:rsid w:val="00007D23"/>
    <w:rsid w:val="00014AB3"/>
    <w:rsid w:val="00015ED6"/>
    <w:rsid w:val="000213FE"/>
    <w:rsid w:val="000240FE"/>
    <w:rsid w:val="0002466F"/>
    <w:rsid w:val="000246B2"/>
    <w:rsid w:val="0002517C"/>
    <w:rsid w:val="000252AD"/>
    <w:rsid w:val="00025A3A"/>
    <w:rsid w:val="00026030"/>
    <w:rsid w:val="00026371"/>
    <w:rsid w:val="000266FD"/>
    <w:rsid w:val="0002771C"/>
    <w:rsid w:val="000314E1"/>
    <w:rsid w:val="00031C71"/>
    <w:rsid w:val="0003219E"/>
    <w:rsid w:val="00032935"/>
    <w:rsid w:val="00034D0D"/>
    <w:rsid w:val="00034F90"/>
    <w:rsid w:val="00037D1B"/>
    <w:rsid w:val="000405FA"/>
    <w:rsid w:val="000406FD"/>
    <w:rsid w:val="00040BAE"/>
    <w:rsid w:val="00044D50"/>
    <w:rsid w:val="00045F67"/>
    <w:rsid w:val="00046830"/>
    <w:rsid w:val="00047E92"/>
    <w:rsid w:val="0005148C"/>
    <w:rsid w:val="00051747"/>
    <w:rsid w:val="00051E41"/>
    <w:rsid w:val="00052A03"/>
    <w:rsid w:val="00054CE9"/>
    <w:rsid w:val="00055C17"/>
    <w:rsid w:val="00056CC9"/>
    <w:rsid w:val="000601A7"/>
    <w:rsid w:val="00060D81"/>
    <w:rsid w:val="000634AC"/>
    <w:rsid w:val="00063EEF"/>
    <w:rsid w:val="000651EC"/>
    <w:rsid w:val="00066440"/>
    <w:rsid w:val="00067C9B"/>
    <w:rsid w:val="00070275"/>
    <w:rsid w:val="00072674"/>
    <w:rsid w:val="0007269A"/>
    <w:rsid w:val="00073BF5"/>
    <w:rsid w:val="0007602D"/>
    <w:rsid w:val="00080C19"/>
    <w:rsid w:val="000824C0"/>
    <w:rsid w:val="00082EE1"/>
    <w:rsid w:val="00093BA8"/>
    <w:rsid w:val="000951CD"/>
    <w:rsid w:val="00096F6C"/>
    <w:rsid w:val="000A3AC5"/>
    <w:rsid w:val="000A4A24"/>
    <w:rsid w:val="000A6332"/>
    <w:rsid w:val="000A68BE"/>
    <w:rsid w:val="000B35F1"/>
    <w:rsid w:val="000B406C"/>
    <w:rsid w:val="000B5AE1"/>
    <w:rsid w:val="000B77B0"/>
    <w:rsid w:val="000C0393"/>
    <w:rsid w:val="000C0B4C"/>
    <w:rsid w:val="000C20DD"/>
    <w:rsid w:val="000C2A2C"/>
    <w:rsid w:val="000C4655"/>
    <w:rsid w:val="000C488A"/>
    <w:rsid w:val="000C4A3D"/>
    <w:rsid w:val="000D02F6"/>
    <w:rsid w:val="000D2817"/>
    <w:rsid w:val="000D3D7E"/>
    <w:rsid w:val="000D40B9"/>
    <w:rsid w:val="000D60ED"/>
    <w:rsid w:val="000E43EC"/>
    <w:rsid w:val="000E6EF2"/>
    <w:rsid w:val="000F3980"/>
    <w:rsid w:val="000F4E64"/>
    <w:rsid w:val="000F4FA3"/>
    <w:rsid w:val="000F5294"/>
    <w:rsid w:val="000F5459"/>
    <w:rsid w:val="000F5990"/>
    <w:rsid w:val="00100F55"/>
    <w:rsid w:val="00104D65"/>
    <w:rsid w:val="00106838"/>
    <w:rsid w:val="00110488"/>
    <w:rsid w:val="001136A5"/>
    <w:rsid w:val="00115509"/>
    <w:rsid w:val="00117380"/>
    <w:rsid w:val="0012021B"/>
    <w:rsid w:val="00121EF0"/>
    <w:rsid w:val="00127145"/>
    <w:rsid w:val="0012746B"/>
    <w:rsid w:val="001275EC"/>
    <w:rsid w:val="0013097F"/>
    <w:rsid w:val="001328F1"/>
    <w:rsid w:val="00134DC5"/>
    <w:rsid w:val="00135AAE"/>
    <w:rsid w:val="00140A27"/>
    <w:rsid w:val="00145643"/>
    <w:rsid w:val="00147C9B"/>
    <w:rsid w:val="00147E0C"/>
    <w:rsid w:val="001521CE"/>
    <w:rsid w:val="00152E13"/>
    <w:rsid w:val="00155162"/>
    <w:rsid w:val="001579B0"/>
    <w:rsid w:val="00157DDB"/>
    <w:rsid w:val="001608EB"/>
    <w:rsid w:val="00161BCC"/>
    <w:rsid w:val="00162034"/>
    <w:rsid w:val="00162BA1"/>
    <w:rsid w:val="00165378"/>
    <w:rsid w:val="0017023D"/>
    <w:rsid w:val="00170379"/>
    <w:rsid w:val="00174C19"/>
    <w:rsid w:val="001757A5"/>
    <w:rsid w:val="00175B20"/>
    <w:rsid w:val="001779AB"/>
    <w:rsid w:val="00182E67"/>
    <w:rsid w:val="00190F22"/>
    <w:rsid w:val="001946F6"/>
    <w:rsid w:val="00196B6D"/>
    <w:rsid w:val="00196F7A"/>
    <w:rsid w:val="001977D0"/>
    <w:rsid w:val="001A2085"/>
    <w:rsid w:val="001A3493"/>
    <w:rsid w:val="001A43A8"/>
    <w:rsid w:val="001A4D63"/>
    <w:rsid w:val="001A53DE"/>
    <w:rsid w:val="001A6010"/>
    <w:rsid w:val="001A7B1A"/>
    <w:rsid w:val="001B5D69"/>
    <w:rsid w:val="001B72AC"/>
    <w:rsid w:val="001C10E9"/>
    <w:rsid w:val="001C232C"/>
    <w:rsid w:val="001C28A0"/>
    <w:rsid w:val="001C534D"/>
    <w:rsid w:val="001C6BDE"/>
    <w:rsid w:val="001D0DFC"/>
    <w:rsid w:val="001D176A"/>
    <w:rsid w:val="001D1CE9"/>
    <w:rsid w:val="001D4FBB"/>
    <w:rsid w:val="001D611F"/>
    <w:rsid w:val="001D6AAD"/>
    <w:rsid w:val="001E0985"/>
    <w:rsid w:val="001E14F0"/>
    <w:rsid w:val="001E60F9"/>
    <w:rsid w:val="001F0349"/>
    <w:rsid w:val="001F1C1B"/>
    <w:rsid w:val="001F1F8B"/>
    <w:rsid w:val="001F604C"/>
    <w:rsid w:val="00200EDB"/>
    <w:rsid w:val="00205F33"/>
    <w:rsid w:val="00206364"/>
    <w:rsid w:val="002068D1"/>
    <w:rsid w:val="00211503"/>
    <w:rsid w:val="00212843"/>
    <w:rsid w:val="002164B0"/>
    <w:rsid w:val="00216D72"/>
    <w:rsid w:val="00221ECA"/>
    <w:rsid w:val="00224E0C"/>
    <w:rsid w:val="0023071E"/>
    <w:rsid w:val="002308B9"/>
    <w:rsid w:val="00231CAB"/>
    <w:rsid w:val="002337AD"/>
    <w:rsid w:val="002341D9"/>
    <w:rsid w:val="002370BD"/>
    <w:rsid w:val="00237429"/>
    <w:rsid w:val="00241DA8"/>
    <w:rsid w:val="00254658"/>
    <w:rsid w:val="00255B81"/>
    <w:rsid w:val="00256739"/>
    <w:rsid w:val="00256A4D"/>
    <w:rsid w:val="00260E62"/>
    <w:rsid w:val="002619DE"/>
    <w:rsid w:val="00262893"/>
    <w:rsid w:val="00262E8C"/>
    <w:rsid w:val="00263A98"/>
    <w:rsid w:val="00264072"/>
    <w:rsid w:val="00264139"/>
    <w:rsid w:val="00265057"/>
    <w:rsid w:val="002703FF"/>
    <w:rsid w:val="002706D5"/>
    <w:rsid w:val="002706D9"/>
    <w:rsid w:val="002715B0"/>
    <w:rsid w:val="0027182F"/>
    <w:rsid w:val="00273E3C"/>
    <w:rsid w:val="002741C2"/>
    <w:rsid w:val="00276E2C"/>
    <w:rsid w:val="002772EA"/>
    <w:rsid w:val="002773B5"/>
    <w:rsid w:val="0028377B"/>
    <w:rsid w:val="002838A4"/>
    <w:rsid w:val="00283C46"/>
    <w:rsid w:val="002858B8"/>
    <w:rsid w:val="00286402"/>
    <w:rsid w:val="00286808"/>
    <w:rsid w:val="00287802"/>
    <w:rsid w:val="00287D0D"/>
    <w:rsid w:val="00292AB1"/>
    <w:rsid w:val="0029403D"/>
    <w:rsid w:val="002940AF"/>
    <w:rsid w:val="00295555"/>
    <w:rsid w:val="00296D9A"/>
    <w:rsid w:val="00296F26"/>
    <w:rsid w:val="002A0B94"/>
    <w:rsid w:val="002A1C1F"/>
    <w:rsid w:val="002A2E49"/>
    <w:rsid w:val="002A4484"/>
    <w:rsid w:val="002A65D6"/>
    <w:rsid w:val="002A68BE"/>
    <w:rsid w:val="002A739E"/>
    <w:rsid w:val="002B068C"/>
    <w:rsid w:val="002B10DF"/>
    <w:rsid w:val="002B3142"/>
    <w:rsid w:val="002B5C7E"/>
    <w:rsid w:val="002B7028"/>
    <w:rsid w:val="002B7D60"/>
    <w:rsid w:val="002C05DA"/>
    <w:rsid w:val="002C365F"/>
    <w:rsid w:val="002C3B4A"/>
    <w:rsid w:val="002C488D"/>
    <w:rsid w:val="002C6D2C"/>
    <w:rsid w:val="002D0BBE"/>
    <w:rsid w:val="002D0D37"/>
    <w:rsid w:val="002D3343"/>
    <w:rsid w:val="002D44B1"/>
    <w:rsid w:val="002D5803"/>
    <w:rsid w:val="002E0467"/>
    <w:rsid w:val="002E13A6"/>
    <w:rsid w:val="002E14C6"/>
    <w:rsid w:val="002E42E7"/>
    <w:rsid w:val="002E6C72"/>
    <w:rsid w:val="002F082B"/>
    <w:rsid w:val="002F4140"/>
    <w:rsid w:val="002F46B4"/>
    <w:rsid w:val="002F6DDE"/>
    <w:rsid w:val="00301432"/>
    <w:rsid w:val="003030A1"/>
    <w:rsid w:val="0030423F"/>
    <w:rsid w:val="003043BF"/>
    <w:rsid w:val="00310C27"/>
    <w:rsid w:val="00312BE2"/>
    <w:rsid w:val="00316C1F"/>
    <w:rsid w:val="00317712"/>
    <w:rsid w:val="00320FC3"/>
    <w:rsid w:val="00321F49"/>
    <w:rsid w:val="00324A14"/>
    <w:rsid w:val="00326125"/>
    <w:rsid w:val="003307FD"/>
    <w:rsid w:val="00332B3D"/>
    <w:rsid w:val="00334E8D"/>
    <w:rsid w:val="003358A7"/>
    <w:rsid w:val="00335FB7"/>
    <w:rsid w:val="003369FA"/>
    <w:rsid w:val="003373DE"/>
    <w:rsid w:val="00337DED"/>
    <w:rsid w:val="00340072"/>
    <w:rsid w:val="00340F3F"/>
    <w:rsid w:val="003427C4"/>
    <w:rsid w:val="00350E14"/>
    <w:rsid w:val="00351FFF"/>
    <w:rsid w:val="003544B4"/>
    <w:rsid w:val="00356461"/>
    <w:rsid w:val="00356683"/>
    <w:rsid w:val="00356987"/>
    <w:rsid w:val="003575D9"/>
    <w:rsid w:val="00360FF5"/>
    <w:rsid w:val="003620DB"/>
    <w:rsid w:val="003635B7"/>
    <w:rsid w:val="003636C0"/>
    <w:rsid w:val="00366B98"/>
    <w:rsid w:val="0037449B"/>
    <w:rsid w:val="003744B4"/>
    <w:rsid w:val="0037578B"/>
    <w:rsid w:val="00381832"/>
    <w:rsid w:val="00381CCE"/>
    <w:rsid w:val="003856E5"/>
    <w:rsid w:val="00387D93"/>
    <w:rsid w:val="00390C7B"/>
    <w:rsid w:val="003920B0"/>
    <w:rsid w:val="00392B28"/>
    <w:rsid w:val="003941E8"/>
    <w:rsid w:val="003942FE"/>
    <w:rsid w:val="003A3891"/>
    <w:rsid w:val="003A3C90"/>
    <w:rsid w:val="003A3D99"/>
    <w:rsid w:val="003A58A3"/>
    <w:rsid w:val="003A5BD0"/>
    <w:rsid w:val="003B5A53"/>
    <w:rsid w:val="003B67F0"/>
    <w:rsid w:val="003B7122"/>
    <w:rsid w:val="003C2211"/>
    <w:rsid w:val="003C2BDF"/>
    <w:rsid w:val="003C5D5C"/>
    <w:rsid w:val="003D05C9"/>
    <w:rsid w:val="003D1BA0"/>
    <w:rsid w:val="003D272D"/>
    <w:rsid w:val="003D2EF7"/>
    <w:rsid w:val="003D3C03"/>
    <w:rsid w:val="003D4373"/>
    <w:rsid w:val="003D4579"/>
    <w:rsid w:val="003D6767"/>
    <w:rsid w:val="003D7C34"/>
    <w:rsid w:val="003F052C"/>
    <w:rsid w:val="003F0DEE"/>
    <w:rsid w:val="003F1666"/>
    <w:rsid w:val="003F7596"/>
    <w:rsid w:val="004017CC"/>
    <w:rsid w:val="00402546"/>
    <w:rsid w:val="00403E8C"/>
    <w:rsid w:val="00406440"/>
    <w:rsid w:val="00407711"/>
    <w:rsid w:val="00414D50"/>
    <w:rsid w:val="0041550B"/>
    <w:rsid w:val="00415FD7"/>
    <w:rsid w:val="0042046B"/>
    <w:rsid w:val="0042162E"/>
    <w:rsid w:val="00422479"/>
    <w:rsid w:val="00422724"/>
    <w:rsid w:val="0042298A"/>
    <w:rsid w:val="004238A2"/>
    <w:rsid w:val="00423DB1"/>
    <w:rsid w:val="0042622D"/>
    <w:rsid w:val="00427106"/>
    <w:rsid w:val="004272D0"/>
    <w:rsid w:val="00430BDD"/>
    <w:rsid w:val="00431FC9"/>
    <w:rsid w:val="00432266"/>
    <w:rsid w:val="00432FB3"/>
    <w:rsid w:val="00434766"/>
    <w:rsid w:val="004355E3"/>
    <w:rsid w:val="00440C7A"/>
    <w:rsid w:val="00444A78"/>
    <w:rsid w:val="00445209"/>
    <w:rsid w:val="0044552E"/>
    <w:rsid w:val="00447E5B"/>
    <w:rsid w:val="00453B4C"/>
    <w:rsid w:val="004543FF"/>
    <w:rsid w:val="00455B75"/>
    <w:rsid w:val="00456A84"/>
    <w:rsid w:val="00457C38"/>
    <w:rsid w:val="004603A0"/>
    <w:rsid w:val="00460744"/>
    <w:rsid w:val="004617FA"/>
    <w:rsid w:val="004623CD"/>
    <w:rsid w:val="00464E5A"/>
    <w:rsid w:val="0046511F"/>
    <w:rsid w:val="0046648C"/>
    <w:rsid w:val="00466972"/>
    <w:rsid w:val="00466A12"/>
    <w:rsid w:val="00467567"/>
    <w:rsid w:val="00470418"/>
    <w:rsid w:val="00470FE9"/>
    <w:rsid w:val="00471849"/>
    <w:rsid w:val="00473D01"/>
    <w:rsid w:val="00473E3B"/>
    <w:rsid w:val="00477B71"/>
    <w:rsid w:val="004812A7"/>
    <w:rsid w:val="00481BDF"/>
    <w:rsid w:val="004821B4"/>
    <w:rsid w:val="004821DF"/>
    <w:rsid w:val="004836ED"/>
    <w:rsid w:val="004848B8"/>
    <w:rsid w:val="00486F58"/>
    <w:rsid w:val="0048743C"/>
    <w:rsid w:val="00491F12"/>
    <w:rsid w:val="00494098"/>
    <w:rsid w:val="004942E6"/>
    <w:rsid w:val="00495BE5"/>
    <w:rsid w:val="004966E0"/>
    <w:rsid w:val="00496FC4"/>
    <w:rsid w:val="004A098B"/>
    <w:rsid w:val="004A13B7"/>
    <w:rsid w:val="004A2148"/>
    <w:rsid w:val="004A4FD0"/>
    <w:rsid w:val="004A557F"/>
    <w:rsid w:val="004A5F95"/>
    <w:rsid w:val="004A77F1"/>
    <w:rsid w:val="004B1C84"/>
    <w:rsid w:val="004B22EF"/>
    <w:rsid w:val="004B282C"/>
    <w:rsid w:val="004B5095"/>
    <w:rsid w:val="004B570F"/>
    <w:rsid w:val="004B5BFC"/>
    <w:rsid w:val="004B6B0C"/>
    <w:rsid w:val="004B79E3"/>
    <w:rsid w:val="004C0220"/>
    <w:rsid w:val="004C38CC"/>
    <w:rsid w:val="004C41C8"/>
    <w:rsid w:val="004C5150"/>
    <w:rsid w:val="004C6031"/>
    <w:rsid w:val="004D0D50"/>
    <w:rsid w:val="004D1828"/>
    <w:rsid w:val="004D1B14"/>
    <w:rsid w:val="004D1D3C"/>
    <w:rsid w:val="004D1D40"/>
    <w:rsid w:val="004D1F2F"/>
    <w:rsid w:val="004D23A7"/>
    <w:rsid w:val="004D2A1F"/>
    <w:rsid w:val="004D35A4"/>
    <w:rsid w:val="004D3845"/>
    <w:rsid w:val="004D50C8"/>
    <w:rsid w:val="004D612B"/>
    <w:rsid w:val="004E327D"/>
    <w:rsid w:val="004E3D6E"/>
    <w:rsid w:val="004E3F18"/>
    <w:rsid w:val="004E49FA"/>
    <w:rsid w:val="004E4E7D"/>
    <w:rsid w:val="004E64C9"/>
    <w:rsid w:val="004E7571"/>
    <w:rsid w:val="004E793D"/>
    <w:rsid w:val="004F2345"/>
    <w:rsid w:val="004F2E28"/>
    <w:rsid w:val="00500DF0"/>
    <w:rsid w:val="00506301"/>
    <w:rsid w:val="005168EA"/>
    <w:rsid w:val="00521D3E"/>
    <w:rsid w:val="005243CA"/>
    <w:rsid w:val="005248D4"/>
    <w:rsid w:val="00525DF3"/>
    <w:rsid w:val="00526FBD"/>
    <w:rsid w:val="00527EEB"/>
    <w:rsid w:val="00530BA1"/>
    <w:rsid w:val="00531606"/>
    <w:rsid w:val="00532ED0"/>
    <w:rsid w:val="0053418D"/>
    <w:rsid w:val="005349FF"/>
    <w:rsid w:val="00534C44"/>
    <w:rsid w:val="005360E3"/>
    <w:rsid w:val="00536FE3"/>
    <w:rsid w:val="00537C4C"/>
    <w:rsid w:val="005419A6"/>
    <w:rsid w:val="00542603"/>
    <w:rsid w:val="005447EB"/>
    <w:rsid w:val="00550CDC"/>
    <w:rsid w:val="00551071"/>
    <w:rsid w:val="00551BA2"/>
    <w:rsid w:val="00551F5B"/>
    <w:rsid w:val="00552AD8"/>
    <w:rsid w:val="00552CD9"/>
    <w:rsid w:val="00552FA2"/>
    <w:rsid w:val="00553659"/>
    <w:rsid w:val="00553AF8"/>
    <w:rsid w:val="00554239"/>
    <w:rsid w:val="00557770"/>
    <w:rsid w:val="0056008C"/>
    <w:rsid w:val="00565482"/>
    <w:rsid w:val="00565CBC"/>
    <w:rsid w:val="00570766"/>
    <w:rsid w:val="00574260"/>
    <w:rsid w:val="00574F10"/>
    <w:rsid w:val="00575C45"/>
    <w:rsid w:val="00583BF6"/>
    <w:rsid w:val="005845A5"/>
    <w:rsid w:val="00587794"/>
    <w:rsid w:val="00590F7A"/>
    <w:rsid w:val="005918A5"/>
    <w:rsid w:val="0059475D"/>
    <w:rsid w:val="005951F9"/>
    <w:rsid w:val="00596CD7"/>
    <w:rsid w:val="005A02D1"/>
    <w:rsid w:val="005A05F5"/>
    <w:rsid w:val="005A1015"/>
    <w:rsid w:val="005A1A14"/>
    <w:rsid w:val="005A68D4"/>
    <w:rsid w:val="005A7F6C"/>
    <w:rsid w:val="005B4271"/>
    <w:rsid w:val="005C0938"/>
    <w:rsid w:val="005C1C6D"/>
    <w:rsid w:val="005C4061"/>
    <w:rsid w:val="005C52B7"/>
    <w:rsid w:val="005C52F0"/>
    <w:rsid w:val="005C59E2"/>
    <w:rsid w:val="005D2DF4"/>
    <w:rsid w:val="005D3B0A"/>
    <w:rsid w:val="005D4F45"/>
    <w:rsid w:val="005E06B4"/>
    <w:rsid w:val="005E15EC"/>
    <w:rsid w:val="005E2C38"/>
    <w:rsid w:val="005E30A8"/>
    <w:rsid w:val="005E4A26"/>
    <w:rsid w:val="005E6A79"/>
    <w:rsid w:val="005F24C7"/>
    <w:rsid w:val="005F330B"/>
    <w:rsid w:val="005F3943"/>
    <w:rsid w:val="005F5499"/>
    <w:rsid w:val="005F617A"/>
    <w:rsid w:val="005F636E"/>
    <w:rsid w:val="005F683C"/>
    <w:rsid w:val="005F6890"/>
    <w:rsid w:val="005F77F5"/>
    <w:rsid w:val="00601CBB"/>
    <w:rsid w:val="00602148"/>
    <w:rsid w:val="00602251"/>
    <w:rsid w:val="0060226F"/>
    <w:rsid w:val="00604E97"/>
    <w:rsid w:val="00605896"/>
    <w:rsid w:val="00605A32"/>
    <w:rsid w:val="00607E5A"/>
    <w:rsid w:val="00610F12"/>
    <w:rsid w:val="006124B5"/>
    <w:rsid w:val="006128B0"/>
    <w:rsid w:val="00612EFA"/>
    <w:rsid w:val="00614347"/>
    <w:rsid w:val="006148AA"/>
    <w:rsid w:val="0062131D"/>
    <w:rsid w:val="00623539"/>
    <w:rsid w:val="00623858"/>
    <w:rsid w:val="0062501F"/>
    <w:rsid w:val="006252CB"/>
    <w:rsid w:val="00627543"/>
    <w:rsid w:val="00634FB9"/>
    <w:rsid w:val="006366AE"/>
    <w:rsid w:val="0063708A"/>
    <w:rsid w:val="00641092"/>
    <w:rsid w:val="00641E34"/>
    <w:rsid w:val="0064327A"/>
    <w:rsid w:val="00643E3E"/>
    <w:rsid w:val="00644AFE"/>
    <w:rsid w:val="00645539"/>
    <w:rsid w:val="006462FB"/>
    <w:rsid w:val="00646FDB"/>
    <w:rsid w:val="006502F2"/>
    <w:rsid w:val="00650AFA"/>
    <w:rsid w:val="00651FD5"/>
    <w:rsid w:val="006546A7"/>
    <w:rsid w:val="00656EFD"/>
    <w:rsid w:val="00656FBC"/>
    <w:rsid w:val="00660117"/>
    <w:rsid w:val="00660709"/>
    <w:rsid w:val="006628FF"/>
    <w:rsid w:val="006630B9"/>
    <w:rsid w:val="00665379"/>
    <w:rsid w:val="00667AE3"/>
    <w:rsid w:val="0067250F"/>
    <w:rsid w:val="00675ED5"/>
    <w:rsid w:val="006813AA"/>
    <w:rsid w:val="0068375C"/>
    <w:rsid w:val="006858C8"/>
    <w:rsid w:val="00686437"/>
    <w:rsid w:val="006871EC"/>
    <w:rsid w:val="00690B39"/>
    <w:rsid w:val="00691233"/>
    <w:rsid w:val="00691895"/>
    <w:rsid w:val="00695ACA"/>
    <w:rsid w:val="00695D6E"/>
    <w:rsid w:val="00696525"/>
    <w:rsid w:val="006A165F"/>
    <w:rsid w:val="006A3008"/>
    <w:rsid w:val="006A3F50"/>
    <w:rsid w:val="006A699B"/>
    <w:rsid w:val="006B1BFE"/>
    <w:rsid w:val="006B4C21"/>
    <w:rsid w:val="006B62A0"/>
    <w:rsid w:val="006C1D41"/>
    <w:rsid w:val="006C44B5"/>
    <w:rsid w:val="006C4A89"/>
    <w:rsid w:val="006C58FA"/>
    <w:rsid w:val="006C5DE0"/>
    <w:rsid w:val="006C6C78"/>
    <w:rsid w:val="006D3168"/>
    <w:rsid w:val="006D3857"/>
    <w:rsid w:val="006D5350"/>
    <w:rsid w:val="006D68F8"/>
    <w:rsid w:val="006D76E9"/>
    <w:rsid w:val="006E08FF"/>
    <w:rsid w:val="006E10DA"/>
    <w:rsid w:val="006E33EB"/>
    <w:rsid w:val="006E515C"/>
    <w:rsid w:val="006E5530"/>
    <w:rsid w:val="006E55E6"/>
    <w:rsid w:val="006E7516"/>
    <w:rsid w:val="006F1E09"/>
    <w:rsid w:val="006F5A40"/>
    <w:rsid w:val="00701A65"/>
    <w:rsid w:val="007026D6"/>
    <w:rsid w:val="00702B24"/>
    <w:rsid w:val="00702E9C"/>
    <w:rsid w:val="00704AED"/>
    <w:rsid w:val="00707B42"/>
    <w:rsid w:val="00713767"/>
    <w:rsid w:val="00713F54"/>
    <w:rsid w:val="00714DD7"/>
    <w:rsid w:val="00715C39"/>
    <w:rsid w:val="00716AC5"/>
    <w:rsid w:val="00716D90"/>
    <w:rsid w:val="00721AF6"/>
    <w:rsid w:val="007239E6"/>
    <w:rsid w:val="00724FE4"/>
    <w:rsid w:val="00726D20"/>
    <w:rsid w:val="00727CD4"/>
    <w:rsid w:val="007305AF"/>
    <w:rsid w:val="00733F30"/>
    <w:rsid w:val="007357AC"/>
    <w:rsid w:val="00737BE9"/>
    <w:rsid w:val="00741655"/>
    <w:rsid w:val="007420F7"/>
    <w:rsid w:val="007458BE"/>
    <w:rsid w:val="00747FF5"/>
    <w:rsid w:val="00750460"/>
    <w:rsid w:val="007535AE"/>
    <w:rsid w:val="00753B3E"/>
    <w:rsid w:val="00754C13"/>
    <w:rsid w:val="00757126"/>
    <w:rsid w:val="00757A11"/>
    <w:rsid w:val="0076049D"/>
    <w:rsid w:val="00760FA9"/>
    <w:rsid w:val="00762686"/>
    <w:rsid w:val="00765A4B"/>
    <w:rsid w:val="00765A98"/>
    <w:rsid w:val="00767833"/>
    <w:rsid w:val="00773E9D"/>
    <w:rsid w:val="007760D8"/>
    <w:rsid w:val="007764B7"/>
    <w:rsid w:val="00776ABF"/>
    <w:rsid w:val="00782AEC"/>
    <w:rsid w:val="007837C7"/>
    <w:rsid w:val="00785922"/>
    <w:rsid w:val="007868F9"/>
    <w:rsid w:val="00787BD6"/>
    <w:rsid w:val="007909D1"/>
    <w:rsid w:val="00793BB0"/>
    <w:rsid w:val="00793ECA"/>
    <w:rsid w:val="007965E5"/>
    <w:rsid w:val="00796670"/>
    <w:rsid w:val="007A197D"/>
    <w:rsid w:val="007A1C91"/>
    <w:rsid w:val="007A1E8E"/>
    <w:rsid w:val="007A2961"/>
    <w:rsid w:val="007A39E2"/>
    <w:rsid w:val="007A5AFA"/>
    <w:rsid w:val="007B4426"/>
    <w:rsid w:val="007B5EB3"/>
    <w:rsid w:val="007B7DFF"/>
    <w:rsid w:val="007C14E6"/>
    <w:rsid w:val="007C16CE"/>
    <w:rsid w:val="007C33D1"/>
    <w:rsid w:val="007C6B05"/>
    <w:rsid w:val="007C7802"/>
    <w:rsid w:val="007D19D5"/>
    <w:rsid w:val="007D1A3D"/>
    <w:rsid w:val="007D1F10"/>
    <w:rsid w:val="007D75B5"/>
    <w:rsid w:val="007E0ED1"/>
    <w:rsid w:val="007E12E3"/>
    <w:rsid w:val="007E1519"/>
    <w:rsid w:val="007E73F3"/>
    <w:rsid w:val="007E791C"/>
    <w:rsid w:val="007F2A1E"/>
    <w:rsid w:val="007F3D31"/>
    <w:rsid w:val="007F49C3"/>
    <w:rsid w:val="007F68F4"/>
    <w:rsid w:val="00801380"/>
    <w:rsid w:val="00804797"/>
    <w:rsid w:val="008047AB"/>
    <w:rsid w:val="00805716"/>
    <w:rsid w:val="00812832"/>
    <w:rsid w:val="00813DD5"/>
    <w:rsid w:val="00815413"/>
    <w:rsid w:val="008158EE"/>
    <w:rsid w:val="00816243"/>
    <w:rsid w:val="00816F79"/>
    <w:rsid w:val="008236EC"/>
    <w:rsid w:val="00830D5F"/>
    <w:rsid w:val="00832285"/>
    <w:rsid w:val="00832530"/>
    <w:rsid w:val="0083334D"/>
    <w:rsid w:val="00836528"/>
    <w:rsid w:val="00841DFF"/>
    <w:rsid w:val="00844AF4"/>
    <w:rsid w:val="00845194"/>
    <w:rsid w:val="0084747B"/>
    <w:rsid w:val="00853AAE"/>
    <w:rsid w:val="008608CA"/>
    <w:rsid w:val="008633BF"/>
    <w:rsid w:val="00864494"/>
    <w:rsid w:val="008656C8"/>
    <w:rsid w:val="00866CFE"/>
    <w:rsid w:val="00870234"/>
    <w:rsid w:val="0087125D"/>
    <w:rsid w:val="008723B0"/>
    <w:rsid w:val="00872ABD"/>
    <w:rsid w:val="0087462A"/>
    <w:rsid w:val="00874BDA"/>
    <w:rsid w:val="00877B5F"/>
    <w:rsid w:val="00882C08"/>
    <w:rsid w:val="0088324B"/>
    <w:rsid w:val="00885D6B"/>
    <w:rsid w:val="008864C8"/>
    <w:rsid w:val="00890527"/>
    <w:rsid w:val="00893936"/>
    <w:rsid w:val="00894895"/>
    <w:rsid w:val="00895174"/>
    <w:rsid w:val="00895CE6"/>
    <w:rsid w:val="008A03A4"/>
    <w:rsid w:val="008A3D94"/>
    <w:rsid w:val="008B0B9C"/>
    <w:rsid w:val="008B0FA6"/>
    <w:rsid w:val="008B5234"/>
    <w:rsid w:val="008C1347"/>
    <w:rsid w:val="008C1D3B"/>
    <w:rsid w:val="008C285D"/>
    <w:rsid w:val="008C4B97"/>
    <w:rsid w:val="008C68A7"/>
    <w:rsid w:val="008D09B0"/>
    <w:rsid w:val="008D4119"/>
    <w:rsid w:val="008D4FEE"/>
    <w:rsid w:val="008D6159"/>
    <w:rsid w:val="008D6C6F"/>
    <w:rsid w:val="008E04C3"/>
    <w:rsid w:val="008E391A"/>
    <w:rsid w:val="008E4748"/>
    <w:rsid w:val="008E4793"/>
    <w:rsid w:val="008E63F1"/>
    <w:rsid w:val="008F0255"/>
    <w:rsid w:val="008F455D"/>
    <w:rsid w:val="008F7068"/>
    <w:rsid w:val="0090003F"/>
    <w:rsid w:val="00900825"/>
    <w:rsid w:val="00901537"/>
    <w:rsid w:val="00903FAD"/>
    <w:rsid w:val="009059FB"/>
    <w:rsid w:val="00911D8B"/>
    <w:rsid w:val="0091341C"/>
    <w:rsid w:val="00917336"/>
    <w:rsid w:val="00923DA5"/>
    <w:rsid w:val="009241FE"/>
    <w:rsid w:val="00925C41"/>
    <w:rsid w:val="0092613C"/>
    <w:rsid w:val="009262CF"/>
    <w:rsid w:val="00930724"/>
    <w:rsid w:val="00932F59"/>
    <w:rsid w:val="0093480A"/>
    <w:rsid w:val="00935680"/>
    <w:rsid w:val="00936367"/>
    <w:rsid w:val="009413C4"/>
    <w:rsid w:val="00943AD6"/>
    <w:rsid w:val="00944D6C"/>
    <w:rsid w:val="009465AA"/>
    <w:rsid w:val="009528AD"/>
    <w:rsid w:val="009536C1"/>
    <w:rsid w:val="0095404A"/>
    <w:rsid w:val="00957E6D"/>
    <w:rsid w:val="009618A0"/>
    <w:rsid w:val="00963DDA"/>
    <w:rsid w:val="009648CB"/>
    <w:rsid w:val="00964FD4"/>
    <w:rsid w:val="00965523"/>
    <w:rsid w:val="00971064"/>
    <w:rsid w:val="00971527"/>
    <w:rsid w:val="0097248C"/>
    <w:rsid w:val="00972D8B"/>
    <w:rsid w:val="0097669F"/>
    <w:rsid w:val="00976773"/>
    <w:rsid w:val="00981218"/>
    <w:rsid w:val="0098192E"/>
    <w:rsid w:val="0098240B"/>
    <w:rsid w:val="009824E2"/>
    <w:rsid w:val="0098418E"/>
    <w:rsid w:val="00984F08"/>
    <w:rsid w:val="009871D0"/>
    <w:rsid w:val="00990F91"/>
    <w:rsid w:val="00992906"/>
    <w:rsid w:val="00993C69"/>
    <w:rsid w:val="00995B0E"/>
    <w:rsid w:val="00995EDF"/>
    <w:rsid w:val="009979B1"/>
    <w:rsid w:val="009A285D"/>
    <w:rsid w:val="009A6EE6"/>
    <w:rsid w:val="009A77F4"/>
    <w:rsid w:val="009A7F5C"/>
    <w:rsid w:val="009B4697"/>
    <w:rsid w:val="009B7994"/>
    <w:rsid w:val="009C03FE"/>
    <w:rsid w:val="009C0599"/>
    <w:rsid w:val="009C26E0"/>
    <w:rsid w:val="009C4093"/>
    <w:rsid w:val="009C5C3A"/>
    <w:rsid w:val="009D0022"/>
    <w:rsid w:val="009D01E1"/>
    <w:rsid w:val="009D0242"/>
    <w:rsid w:val="009D3C32"/>
    <w:rsid w:val="009D4A15"/>
    <w:rsid w:val="009D4B76"/>
    <w:rsid w:val="009E2890"/>
    <w:rsid w:val="009E2D86"/>
    <w:rsid w:val="009E2F3D"/>
    <w:rsid w:val="009E2F53"/>
    <w:rsid w:val="009E4062"/>
    <w:rsid w:val="009E4081"/>
    <w:rsid w:val="009E5372"/>
    <w:rsid w:val="009E57F5"/>
    <w:rsid w:val="009E7783"/>
    <w:rsid w:val="009E7CBF"/>
    <w:rsid w:val="009F0D34"/>
    <w:rsid w:val="009F2B91"/>
    <w:rsid w:val="009F7257"/>
    <w:rsid w:val="009F755D"/>
    <w:rsid w:val="00A0249D"/>
    <w:rsid w:val="00A05B9F"/>
    <w:rsid w:val="00A14C3F"/>
    <w:rsid w:val="00A15C3D"/>
    <w:rsid w:val="00A17EE6"/>
    <w:rsid w:val="00A223D6"/>
    <w:rsid w:val="00A257BA"/>
    <w:rsid w:val="00A26C37"/>
    <w:rsid w:val="00A277A1"/>
    <w:rsid w:val="00A32848"/>
    <w:rsid w:val="00A3435B"/>
    <w:rsid w:val="00A34753"/>
    <w:rsid w:val="00A3585F"/>
    <w:rsid w:val="00A41E89"/>
    <w:rsid w:val="00A44A4C"/>
    <w:rsid w:val="00A457DF"/>
    <w:rsid w:val="00A46321"/>
    <w:rsid w:val="00A46E1E"/>
    <w:rsid w:val="00A51AA0"/>
    <w:rsid w:val="00A52A57"/>
    <w:rsid w:val="00A52C49"/>
    <w:rsid w:val="00A534A7"/>
    <w:rsid w:val="00A5369C"/>
    <w:rsid w:val="00A55E9C"/>
    <w:rsid w:val="00A56F1C"/>
    <w:rsid w:val="00A57E7A"/>
    <w:rsid w:val="00A60E94"/>
    <w:rsid w:val="00A61A07"/>
    <w:rsid w:val="00A64B99"/>
    <w:rsid w:val="00A6712D"/>
    <w:rsid w:val="00A70A0A"/>
    <w:rsid w:val="00A70C4E"/>
    <w:rsid w:val="00A73D4A"/>
    <w:rsid w:val="00A75F2B"/>
    <w:rsid w:val="00A7653B"/>
    <w:rsid w:val="00A81EBD"/>
    <w:rsid w:val="00A85097"/>
    <w:rsid w:val="00A87C80"/>
    <w:rsid w:val="00A915EB"/>
    <w:rsid w:val="00A91B93"/>
    <w:rsid w:val="00A91DD1"/>
    <w:rsid w:val="00A92F75"/>
    <w:rsid w:val="00A93135"/>
    <w:rsid w:val="00A93A25"/>
    <w:rsid w:val="00A93F6C"/>
    <w:rsid w:val="00A94EB3"/>
    <w:rsid w:val="00A95C7A"/>
    <w:rsid w:val="00A97D86"/>
    <w:rsid w:val="00AA4629"/>
    <w:rsid w:val="00AA75C2"/>
    <w:rsid w:val="00AB269E"/>
    <w:rsid w:val="00AB68D4"/>
    <w:rsid w:val="00AB695F"/>
    <w:rsid w:val="00AB6B78"/>
    <w:rsid w:val="00AC00C1"/>
    <w:rsid w:val="00AC0FA5"/>
    <w:rsid w:val="00AC2F86"/>
    <w:rsid w:val="00AC466B"/>
    <w:rsid w:val="00AC537B"/>
    <w:rsid w:val="00AC6D71"/>
    <w:rsid w:val="00AD0DA1"/>
    <w:rsid w:val="00AD1302"/>
    <w:rsid w:val="00AD20D3"/>
    <w:rsid w:val="00AD20D7"/>
    <w:rsid w:val="00AD4941"/>
    <w:rsid w:val="00AD6F5E"/>
    <w:rsid w:val="00AE11DB"/>
    <w:rsid w:val="00AE245D"/>
    <w:rsid w:val="00AF0473"/>
    <w:rsid w:val="00AF1983"/>
    <w:rsid w:val="00AF25FE"/>
    <w:rsid w:val="00AF3E71"/>
    <w:rsid w:val="00AF6558"/>
    <w:rsid w:val="00B00081"/>
    <w:rsid w:val="00B00598"/>
    <w:rsid w:val="00B0167B"/>
    <w:rsid w:val="00B017C7"/>
    <w:rsid w:val="00B02106"/>
    <w:rsid w:val="00B03123"/>
    <w:rsid w:val="00B03460"/>
    <w:rsid w:val="00B04DBC"/>
    <w:rsid w:val="00B05526"/>
    <w:rsid w:val="00B06553"/>
    <w:rsid w:val="00B06AD0"/>
    <w:rsid w:val="00B06EEC"/>
    <w:rsid w:val="00B07572"/>
    <w:rsid w:val="00B07F52"/>
    <w:rsid w:val="00B11085"/>
    <w:rsid w:val="00B1297E"/>
    <w:rsid w:val="00B1315D"/>
    <w:rsid w:val="00B13FD0"/>
    <w:rsid w:val="00B1524F"/>
    <w:rsid w:val="00B1557D"/>
    <w:rsid w:val="00B16836"/>
    <w:rsid w:val="00B16A57"/>
    <w:rsid w:val="00B24A56"/>
    <w:rsid w:val="00B24BC9"/>
    <w:rsid w:val="00B303B2"/>
    <w:rsid w:val="00B3055E"/>
    <w:rsid w:val="00B32A74"/>
    <w:rsid w:val="00B33C0B"/>
    <w:rsid w:val="00B46800"/>
    <w:rsid w:val="00B47B0D"/>
    <w:rsid w:val="00B53622"/>
    <w:rsid w:val="00B57390"/>
    <w:rsid w:val="00B57FC0"/>
    <w:rsid w:val="00B626AD"/>
    <w:rsid w:val="00B62AAD"/>
    <w:rsid w:val="00B64001"/>
    <w:rsid w:val="00B75F0D"/>
    <w:rsid w:val="00B80AA4"/>
    <w:rsid w:val="00B8168B"/>
    <w:rsid w:val="00B819E6"/>
    <w:rsid w:val="00B83103"/>
    <w:rsid w:val="00B83C6B"/>
    <w:rsid w:val="00B86300"/>
    <w:rsid w:val="00B92B97"/>
    <w:rsid w:val="00B96C5A"/>
    <w:rsid w:val="00BA0057"/>
    <w:rsid w:val="00BA03B2"/>
    <w:rsid w:val="00BA03EC"/>
    <w:rsid w:val="00BA1A7C"/>
    <w:rsid w:val="00BA3B23"/>
    <w:rsid w:val="00BA4EDF"/>
    <w:rsid w:val="00BA70EE"/>
    <w:rsid w:val="00BA7231"/>
    <w:rsid w:val="00BB164D"/>
    <w:rsid w:val="00BB1E29"/>
    <w:rsid w:val="00BB2075"/>
    <w:rsid w:val="00BB482B"/>
    <w:rsid w:val="00BB4CFF"/>
    <w:rsid w:val="00BB6432"/>
    <w:rsid w:val="00BB7E0B"/>
    <w:rsid w:val="00BC5867"/>
    <w:rsid w:val="00BC68CF"/>
    <w:rsid w:val="00BC6CCC"/>
    <w:rsid w:val="00BD3023"/>
    <w:rsid w:val="00BD3F00"/>
    <w:rsid w:val="00BD47BA"/>
    <w:rsid w:val="00BD4EF3"/>
    <w:rsid w:val="00BD59CC"/>
    <w:rsid w:val="00BD6BE8"/>
    <w:rsid w:val="00BE1AD1"/>
    <w:rsid w:val="00BE2D15"/>
    <w:rsid w:val="00BE79A4"/>
    <w:rsid w:val="00BF1F30"/>
    <w:rsid w:val="00C02622"/>
    <w:rsid w:val="00C02D6B"/>
    <w:rsid w:val="00C03531"/>
    <w:rsid w:val="00C03D08"/>
    <w:rsid w:val="00C065C2"/>
    <w:rsid w:val="00C1658D"/>
    <w:rsid w:val="00C21255"/>
    <w:rsid w:val="00C218BA"/>
    <w:rsid w:val="00C245EA"/>
    <w:rsid w:val="00C26E79"/>
    <w:rsid w:val="00C27E12"/>
    <w:rsid w:val="00C3716F"/>
    <w:rsid w:val="00C373AB"/>
    <w:rsid w:val="00C4031D"/>
    <w:rsid w:val="00C407D3"/>
    <w:rsid w:val="00C4459F"/>
    <w:rsid w:val="00C45D0A"/>
    <w:rsid w:val="00C473F5"/>
    <w:rsid w:val="00C476C9"/>
    <w:rsid w:val="00C52547"/>
    <w:rsid w:val="00C531CA"/>
    <w:rsid w:val="00C57571"/>
    <w:rsid w:val="00C604FA"/>
    <w:rsid w:val="00C628C8"/>
    <w:rsid w:val="00C62F03"/>
    <w:rsid w:val="00C647CB"/>
    <w:rsid w:val="00C6536C"/>
    <w:rsid w:val="00C712AC"/>
    <w:rsid w:val="00C72592"/>
    <w:rsid w:val="00C72CD6"/>
    <w:rsid w:val="00C72D66"/>
    <w:rsid w:val="00C74345"/>
    <w:rsid w:val="00C745F2"/>
    <w:rsid w:val="00C757A9"/>
    <w:rsid w:val="00C800CC"/>
    <w:rsid w:val="00C81F0C"/>
    <w:rsid w:val="00C82326"/>
    <w:rsid w:val="00C82D0E"/>
    <w:rsid w:val="00C85818"/>
    <w:rsid w:val="00C8605C"/>
    <w:rsid w:val="00C90A8C"/>
    <w:rsid w:val="00C92190"/>
    <w:rsid w:val="00CA485C"/>
    <w:rsid w:val="00CA5860"/>
    <w:rsid w:val="00CB04EE"/>
    <w:rsid w:val="00CB0EA0"/>
    <w:rsid w:val="00CB1448"/>
    <w:rsid w:val="00CB1808"/>
    <w:rsid w:val="00CB6956"/>
    <w:rsid w:val="00CB7014"/>
    <w:rsid w:val="00CB7F16"/>
    <w:rsid w:val="00CC405F"/>
    <w:rsid w:val="00CD065C"/>
    <w:rsid w:val="00CD1A77"/>
    <w:rsid w:val="00CD23F1"/>
    <w:rsid w:val="00CD31A5"/>
    <w:rsid w:val="00CD3208"/>
    <w:rsid w:val="00CD4484"/>
    <w:rsid w:val="00CD4EED"/>
    <w:rsid w:val="00CD6ACA"/>
    <w:rsid w:val="00CD7986"/>
    <w:rsid w:val="00CE02C1"/>
    <w:rsid w:val="00CE1216"/>
    <w:rsid w:val="00CE5388"/>
    <w:rsid w:val="00CE7911"/>
    <w:rsid w:val="00CE7D95"/>
    <w:rsid w:val="00CF25D2"/>
    <w:rsid w:val="00CF46C6"/>
    <w:rsid w:val="00CF57E7"/>
    <w:rsid w:val="00D00932"/>
    <w:rsid w:val="00D01A8F"/>
    <w:rsid w:val="00D01E4F"/>
    <w:rsid w:val="00D027BD"/>
    <w:rsid w:val="00D0311B"/>
    <w:rsid w:val="00D04240"/>
    <w:rsid w:val="00D06031"/>
    <w:rsid w:val="00D06838"/>
    <w:rsid w:val="00D12246"/>
    <w:rsid w:val="00D1793A"/>
    <w:rsid w:val="00D21FCA"/>
    <w:rsid w:val="00D33925"/>
    <w:rsid w:val="00D35230"/>
    <w:rsid w:val="00D40AFF"/>
    <w:rsid w:val="00D41C3A"/>
    <w:rsid w:val="00D41CF5"/>
    <w:rsid w:val="00D42297"/>
    <w:rsid w:val="00D42F8A"/>
    <w:rsid w:val="00D44098"/>
    <w:rsid w:val="00D442E4"/>
    <w:rsid w:val="00D47863"/>
    <w:rsid w:val="00D50AEE"/>
    <w:rsid w:val="00D50F7F"/>
    <w:rsid w:val="00D52352"/>
    <w:rsid w:val="00D52F90"/>
    <w:rsid w:val="00D55E5F"/>
    <w:rsid w:val="00D56531"/>
    <w:rsid w:val="00D56F2B"/>
    <w:rsid w:val="00D572EE"/>
    <w:rsid w:val="00D60371"/>
    <w:rsid w:val="00D60C3B"/>
    <w:rsid w:val="00D6248A"/>
    <w:rsid w:val="00D669D6"/>
    <w:rsid w:val="00D7029B"/>
    <w:rsid w:val="00D71160"/>
    <w:rsid w:val="00D734A8"/>
    <w:rsid w:val="00D73DB9"/>
    <w:rsid w:val="00D74043"/>
    <w:rsid w:val="00D7512C"/>
    <w:rsid w:val="00D77878"/>
    <w:rsid w:val="00D84D97"/>
    <w:rsid w:val="00D85D04"/>
    <w:rsid w:val="00D912C8"/>
    <w:rsid w:val="00D912CC"/>
    <w:rsid w:val="00D92B58"/>
    <w:rsid w:val="00D96384"/>
    <w:rsid w:val="00DA0E87"/>
    <w:rsid w:val="00DA3695"/>
    <w:rsid w:val="00DA781C"/>
    <w:rsid w:val="00DA7B2D"/>
    <w:rsid w:val="00DA7D4B"/>
    <w:rsid w:val="00DB0036"/>
    <w:rsid w:val="00DB0D84"/>
    <w:rsid w:val="00DB1053"/>
    <w:rsid w:val="00DB1081"/>
    <w:rsid w:val="00DB12F1"/>
    <w:rsid w:val="00DB1B65"/>
    <w:rsid w:val="00DB262D"/>
    <w:rsid w:val="00DB5C44"/>
    <w:rsid w:val="00DC1ABD"/>
    <w:rsid w:val="00DC2105"/>
    <w:rsid w:val="00DC212F"/>
    <w:rsid w:val="00DC49A6"/>
    <w:rsid w:val="00DD0E63"/>
    <w:rsid w:val="00DD0EFA"/>
    <w:rsid w:val="00DD293E"/>
    <w:rsid w:val="00DE10E2"/>
    <w:rsid w:val="00DE4D3E"/>
    <w:rsid w:val="00DE7AA2"/>
    <w:rsid w:val="00DF177F"/>
    <w:rsid w:val="00DF2D23"/>
    <w:rsid w:val="00DF2F36"/>
    <w:rsid w:val="00DF5E33"/>
    <w:rsid w:val="00DF6171"/>
    <w:rsid w:val="00DF7855"/>
    <w:rsid w:val="00E01A1B"/>
    <w:rsid w:val="00E02480"/>
    <w:rsid w:val="00E03697"/>
    <w:rsid w:val="00E04607"/>
    <w:rsid w:val="00E05DF0"/>
    <w:rsid w:val="00E10527"/>
    <w:rsid w:val="00E11A92"/>
    <w:rsid w:val="00E13129"/>
    <w:rsid w:val="00E14A66"/>
    <w:rsid w:val="00E167F6"/>
    <w:rsid w:val="00E16D72"/>
    <w:rsid w:val="00E179AA"/>
    <w:rsid w:val="00E23B01"/>
    <w:rsid w:val="00E23C6A"/>
    <w:rsid w:val="00E2681F"/>
    <w:rsid w:val="00E2682F"/>
    <w:rsid w:val="00E26B33"/>
    <w:rsid w:val="00E26E06"/>
    <w:rsid w:val="00E300FD"/>
    <w:rsid w:val="00E3151E"/>
    <w:rsid w:val="00E3723F"/>
    <w:rsid w:val="00E40D68"/>
    <w:rsid w:val="00E4165A"/>
    <w:rsid w:val="00E41DFA"/>
    <w:rsid w:val="00E42BFD"/>
    <w:rsid w:val="00E52D2C"/>
    <w:rsid w:val="00E5437B"/>
    <w:rsid w:val="00E54486"/>
    <w:rsid w:val="00E54779"/>
    <w:rsid w:val="00E548A7"/>
    <w:rsid w:val="00E55C93"/>
    <w:rsid w:val="00E565A0"/>
    <w:rsid w:val="00E56C9E"/>
    <w:rsid w:val="00E56D6E"/>
    <w:rsid w:val="00E5722F"/>
    <w:rsid w:val="00E6053E"/>
    <w:rsid w:val="00E6093E"/>
    <w:rsid w:val="00E6095C"/>
    <w:rsid w:val="00E676E9"/>
    <w:rsid w:val="00E70F95"/>
    <w:rsid w:val="00E71961"/>
    <w:rsid w:val="00E72C7D"/>
    <w:rsid w:val="00E75E92"/>
    <w:rsid w:val="00E80293"/>
    <w:rsid w:val="00E85B2B"/>
    <w:rsid w:val="00E8672D"/>
    <w:rsid w:val="00E8794A"/>
    <w:rsid w:val="00E95D92"/>
    <w:rsid w:val="00E967D6"/>
    <w:rsid w:val="00E96C9A"/>
    <w:rsid w:val="00E97930"/>
    <w:rsid w:val="00EA1532"/>
    <w:rsid w:val="00EA7CB1"/>
    <w:rsid w:val="00EB07D8"/>
    <w:rsid w:val="00EB1E24"/>
    <w:rsid w:val="00EB40C2"/>
    <w:rsid w:val="00EB4679"/>
    <w:rsid w:val="00EB4A51"/>
    <w:rsid w:val="00EC01E2"/>
    <w:rsid w:val="00EC1127"/>
    <w:rsid w:val="00EC42FB"/>
    <w:rsid w:val="00EC4305"/>
    <w:rsid w:val="00EC4E3C"/>
    <w:rsid w:val="00EC53A4"/>
    <w:rsid w:val="00EC5468"/>
    <w:rsid w:val="00EC59F2"/>
    <w:rsid w:val="00EC5A65"/>
    <w:rsid w:val="00EC6A46"/>
    <w:rsid w:val="00EC7861"/>
    <w:rsid w:val="00EC7C42"/>
    <w:rsid w:val="00ED4F6F"/>
    <w:rsid w:val="00EE1703"/>
    <w:rsid w:val="00EE1D64"/>
    <w:rsid w:val="00EF0F78"/>
    <w:rsid w:val="00EF2C2C"/>
    <w:rsid w:val="00EF4247"/>
    <w:rsid w:val="00EF52F9"/>
    <w:rsid w:val="00EF6694"/>
    <w:rsid w:val="00F01C8A"/>
    <w:rsid w:val="00F07B36"/>
    <w:rsid w:val="00F112C1"/>
    <w:rsid w:val="00F12D13"/>
    <w:rsid w:val="00F13792"/>
    <w:rsid w:val="00F13DE7"/>
    <w:rsid w:val="00F14227"/>
    <w:rsid w:val="00F1605F"/>
    <w:rsid w:val="00F17157"/>
    <w:rsid w:val="00F17DC4"/>
    <w:rsid w:val="00F21E1B"/>
    <w:rsid w:val="00F25C6C"/>
    <w:rsid w:val="00F3115B"/>
    <w:rsid w:val="00F3214F"/>
    <w:rsid w:val="00F34B7C"/>
    <w:rsid w:val="00F34DB4"/>
    <w:rsid w:val="00F3537C"/>
    <w:rsid w:val="00F35C7B"/>
    <w:rsid w:val="00F379FF"/>
    <w:rsid w:val="00F37CD5"/>
    <w:rsid w:val="00F40285"/>
    <w:rsid w:val="00F407EA"/>
    <w:rsid w:val="00F41D2B"/>
    <w:rsid w:val="00F428A3"/>
    <w:rsid w:val="00F44B7F"/>
    <w:rsid w:val="00F45276"/>
    <w:rsid w:val="00F46508"/>
    <w:rsid w:val="00F54CCA"/>
    <w:rsid w:val="00F551DE"/>
    <w:rsid w:val="00F5574D"/>
    <w:rsid w:val="00F57C56"/>
    <w:rsid w:val="00F60DAA"/>
    <w:rsid w:val="00F6136D"/>
    <w:rsid w:val="00F63E65"/>
    <w:rsid w:val="00F66D86"/>
    <w:rsid w:val="00F67D9C"/>
    <w:rsid w:val="00F730B2"/>
    <w:rsid w:val="00F7325E"/>
    <w:rsid w:val="00F738CF"/>
    <w:rsid w:val="00F7470D"/>
    <w:rsid w:val="00F75005"/>
    <w:rsid w:val="00F7638F"/>
    <w:rsid w:val="00F77A86"/>
    <w:rsid w:val="00F80BAB"/>
    <w:rsid w:val="00F8224A"/>
    <w:rsid w:val="00F82F67"/>
    <w:rsid w:val="00F85460"/>
    <w:rsid w:val="00F85AA2"/>
    <w:rsid w:val="00F85C4C"/>
    <w:rsid w:val="00F877EB"/>
    <w:rsid w:val="00F87C4C"/>
    <w:rsid w:val="00F9129B"/>
    <w:rsid w:val="00FA012C"/>
    <w:rsid w:val="00FA6B2A"/>
    <w:rsid w:val="00FB0D17"/>
    <w:rsid w:val="00FB11DC"/>
    <w:rsid w:val="00FB13C3"/>
    <w:rsid w:val="00FB3254"/>
    <w:rsid w:val="00FB385E"/>
    <w:rsid w:val="00FB3B4C"/>
    <w:rsid w:val="00FB73A8"/>
    <w:rsid w:val="00FC1E18"/>
    <w:rsid w:val="00FC3FA7"/>
    <w:rsid w:val="00FC4D47"/>
    <w:rsid w:val="00FC5CD7"/>
    <w:rsid w:val="00FD0887"/>
    <w:rsid w:val="00FD4E45"/>
    <w:rsid w:val="00FD55AF"/>
    <w:rsid w:val="00FD6C6E"/>
    <w:rsid w:val="00FE3A53"/>
    <w:rsid w:val="00FE77CE"/>
    <w:rsid w:val="00FF25FA"/>
    <w:rsid w:val="00FF2759"/>
    <w:rsid w:val="00FF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4E327D"/>
    <w:pPr>
      <w:keepNext/>
      <w:spacing w:before="240" w:after="12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4E327D"/>
    <w:pPr>
      <w:keepNext/>
      <w:spacing w:before="240" w:after="12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11B73-CEF7-49E1-99F8-285C66A7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3347</Words>
  <Characters>19083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Расходы областного бюджета Новосибирской области на 2007 год</vt:lpstr>
    </vt:vector>
  </TitlesOfParts>
  <Company>KCP</Company>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 областного бюджета Новосибирской области на 2007 год</dc:title>
  <dc:creator>User</dc:creator>
  <cp:lastModifiedBy>Довгучиц</cp:lastModifiedBy>
  <cp:revision>3</cp:revision>
  <cp:lastPrinted>2016-04-28T10:26:00Z</cp:lastPrinted>
  <dcterms:created xsi:type="dcterms:W3CDTF">2016-04-28T06:05:00Z</dcterms:created>
  <dcterms:modified xsi:type="dcterms:W3CDTF">2016-04-28T10:26:00Z</dcterms:modified>
</cp:coreProperties>
</file>